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8A45" w14:textId="5C94C89E" w:rsidR="00780F37" w:rsidRDefault="00780F37" w:rsidP="004F5D13">
      <w:pPr>
        <w:rPr>
          <w:rFonts w:asciiTheme="minorHAnsi" w:hAnsiTheme="minorHAnsi"/>
          <w:sz w:val="28"/>
          <w:szCs w:val="22"/>
        </w:rPr>
      </w:pPr>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 xml:space="preserve">.1.1 A simple model of the atom, symbols, relative atomic mass, electronic </w:t>
            </w:r>
            <w:proofErr w:type="gramStart"/>
            <w:r w:rsidR="004F5D13" w:rsidRPr="00780F37">
              <w:rPr>
                <w:rFonts w:asciiTheme="minorHAnsi" w:hAnsiTheme="minorHAnsi"/>
                <w:b/>
                <w:bCs/>
                <w:sz w:val="20"/>
                <w:szCs w:val="20"/>
              </w:rPr>
              <w:t>charge</w:t>
            </w:r>
            <w:proofErr w:type="gramEnd"/>
            <w:r w:rsidR="004F5D13" w:rsidRPr="00780F37">
              <w:rPr>
                <w:rFonts w:asciiTheme="minorHAnsi" w:hAnsiTheme="minorHAnsi"/>
                <w:b/>
                <w:bCs/>
                <w:sz w:val="20"/>
                <w:szCs w:val="20"/>
              </w:rPr>
              <w:t xml:space="preserv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C328FE">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tcPr>
          <w:p w14:paraId="03E8AA9F" w14:textId="0C22EE7A" w:rsidR="004F5D13" w:rsidRPr="00780F37" w:rsidRDefault="004F5D13" w:rsidP="004F5D13">
            <w:pPr>
              <w:rPr>
                <w:rFonts w:asciiTheme="minorHAnsi" w:hAnsiTheme="minorHAnsi"/>
                <w:b/>
                <w:bCs/>
                <w:sz w:val="20"/>
                <w:szCs w:val="20"/>
              </w:rPr>
            </w:pP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discovery of the atom and scattering experiments (</w:t>
            </w:r>
            <w:proofErr w:type="spellStart"/>
            <w:r w:rsidRPr="00780F37">
              <w:rPr>
                <w:rFonts w:asciiTheme="minorHAnsi" w:hAnsiTheme="minorHAnsi"/>
                <w:sz w:val="20"/>
                <w:szCs w:val="20"/>
              </w:rPr>
              <w:t>inc</w:t>
            </w:r>
            <w:proofErr w:type="spellEnd"/>
            <w:r w:rsidRPr="00780F37">
              <w:rPr>
                <w:rFonts w:asciiTheme="minorHAnsi" w:hAnsiTheme="minorHAnsi"/>
                <w:sz w:val="20"/>
                <w:szCs w:val="20"/>
              </w:rPr>
              <w:t xml:space="preserve">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w:t>
            </w:r>
            <w:proofErr w:type="gramStart"/>
            <w:r w:rsidRPr="00780F37">
              <w:rPr>
                <w:rFonts w:asciiTheme="minorHAnsi" w:hAnsiTheme="minorHAnsi"/>
                <w:sz w:val="20"/>
                <w:szCs w:val="20"/>
              </w:rPr>
              <w:t>takes into account</w:t>
            </w:r>
            <w:proofErr w:type="gramEnd"/>
            <w:r w:rsidRPr="00780F37">
              <w:rPr>
                <w:rFonts w:asciiTheme="minorHAnsi" w:hAnsiTheme="minorHAnsi"/>
                <w:sz w:val="20"/>
                <w:szCs w:val="20"/>
              </w:rPr>
              <w:t xml:space="preserve">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B10FC8">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shd w:val="clear" w:color="auto" w:fill="FFFF00"/>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B10FC8">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B10FC8">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B10FC8">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B10FC8">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B10FC8">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w:t>
            </w:r>
            <w:proofErr w:type="gramStart"/>
            <w:r w:rsidRPr="00780F37">
              <w:rPr>
                <w:rFonts w:asciiTheme="minorHAnsi" w:hAnsiTheme="minorHAnsi"/>
                <w:sz w:val="20"/>
                <w:szCs w:val="20"/>
              </w:rPr>
              <w:t>compare and contrast</w:t>
            </w:r>
            <w:proofErr w:type="gramEnd"/>
            <w:r w:rsidRPr="00780F37">
              <w:rPr>
                <w:rFonts w:asciiTheme="minorHAnsi" w:hAnsiTheme="minorHAnsi"/>
                <w:sz w:val="20"/>
                <w:szCs w:val="20"/>
              </w:rPr>
              <w:t xml:space="preserve">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B10FC8">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B10FC8">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t>
            </w:r>
            <w:proofErr w:type="spellStart"/>
            <w:r w:rsidRPr="00780F37">
              <w:rPr>
                <w:rFonts w:asciiTheme="minorHAnsi" w:hAnsiTheme="minorHAnsi"/>
                <w:sz w:val="20"/>
                <w:szCs w:val="20"/>
              </w:rPr>
              <w:t>nobel</w:t>
            </w:r>
            <w:proofErr w:type="spellEnd"/>
            <w:r w:rsidRPr="00780F37">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B10FC8">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B10FC8">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B10FC8">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B10FC8">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shd w:val="clear" w:color="auto" w:fill="FFFF00"/>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2C79DF3E">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2C79DF3E">
        <w:trPr>
          <w:cantSplit/>
          <w:trHeight w:val="20"/>
        </w:trPr>
        <w:tc>
          <w:tcPr>
            <w:tcW w:w="886" w:type="dxa"/>
            <w:shd w:val="clear" w:color="auto" w:fill="FFFFFF" w:themeFill="background1"/>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2C79DF3E">
        <w:trPr>
          <w:cantSplit/>
          <w:trHeight w:val="20"/>
        </w:trPr>
        <w:tc>
          <w:tcPr>
            <w:tcW w:w="886" w:type="dxa"/>
            <w:vMerge w:val="restart"/>
            <w:shd w:val="clear" w:color="auto" w:fill="FFFFFF" w:themeFill="background1"/>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w:t>
            </w:r>
            <w:proofErr w:type="gramStart"/>
            <w:r w:rsidR="00780F37" w:rsidRPr="00780F37">
              <w:rPr>
                <w:rFonts w:asciiTheme="minorHAnsi" w:hAnsiTheme="minorHAnsi" w:cstheme="minorBidi"/>
                <w:b/>
                <w:bCs/>
                <w:sz w:val="20"/>
                <w:szCs w:val="20"/>
                <w:lang w:eastAsia="en-US"/>
              </w:rPr>
              <w:t>covalent</w:t>
            </w:r>
            <w:proofErr w:type="gramEnd"/>
            <w:r w:rsidR="00780F37" w:rsidRPr="00780F37">
              <w:rPr>
                <w:rFonts w:asciiTheme="minorHAnsi" w:hAnsiTheme="minorHAnsi" w:cstheme="minorBidi"/>
                <w:b/>
                <w:bCs/>
                <w:sz w:val="20"/>
                <w:szCs w:val="20"/>
                <w:lang w:eastAsia="en-US"/>
              </w:rPr>
              <w:t xml:space="preserve">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w:t>
            </w:r>
            <w:proofErr w:type="gramStart"/>
            <w:r w:rsidRPr="00780F37">
              <w:rPr>
                <w:rFonts w:asciiTheme="minorHAnsi" w:hAnsiTheme="minorHAnsi" w:cstheme="minorBidi"/>
                <w:sz w:val="20"/>
                <w:szCs w:val="20"/>
                <w:lang w:eastAsia="en-US"/>
              </w:rPr>
              <w:t>bonds</w:t>
            </w:r>
            <w:proofErr w:type="gramEnd"/>
            <w:r w:rsidRPr="00780F37">
              <w:rPr>
                <w:rFonts w:asciiTheme="minorHAnsi" w:hAnsiTheme="minorHAnsi" w:cstheme="minorBidi"/>
                <w:sz w:val="20"/>
                <w:szCs w:val="20"/>
                <w:lang w:eastAsia="en-US"/>
              </w:rPr>
              <w:t xml:space="preserve">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2C79DF3E">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2C79DF3E">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2C79DF3E">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2C79DF3E">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2C79DF3E">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w:t>
            </w:r>
            <w:proofErr w:type="gramStart"/>
            <w:r w:rsidRPr="00780F37">
              <w:rPr>
                <w:rFonts w:asciiTheme="minorHAnsi" w:hAnsiTheme="minorHAnsi" w:cstheme="minorBidi"/>
                <w:sz w:val="20"/>
                <w:szCs w:val="20"/>
                <w:lang w:eastAsia="en-US"/>
              </w:rPr>
              <w:t>molecules</w:t>
            </w:r>
            <w:proofErr w:type="gramEnd"/>
            <w:r w:rsidRPr="00780F37">
              <w:rPr>
                <w:rFonts w:asciiTheme="minorHAnsi" w:hAnsiTheme="minorHAnsi" w:cstheme="minorBidi"/>
                <w:sz w:val="20"/>
                <w:szCs w:val="20"/>
                <w:lang w:eastAsia="en-US"/>
              </w:rPr>
              <w:t xml:space="preserve">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2C79DF3E">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2C79DF3E">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w:t>
            </w:r>
            <w:proofErr w:type="gramStart"/>
            <w:r w:rsidRPr="00780F37">
              <w:rPr>
                <w:rFonts w:asciiTheme="minorHAnsi" w:hAnsiTheme="minorHAnsi" w:cstheme="minorBidi"/>
                <w:sz w:val="20"/>
                <w:szCs w:val="20"/>
                <w:lang w:eastAsia="en-US"/>
              </w:rPr>
              <w:t>ammonia</w:t>
            </w:r>
            <w:proofErr w:type="gramEnd"/>
            <w:r w:rsidRPr="00780F37">
              <w:rPr>
                <w:rFonts w:asciiTheme="minorHAnsi" w:hAnsiTheme="minorHAnsi" w:cstheme="minorBidi"/>
                <w:sz w:val="20"/>
                <w:szCs w:val="20"/>
                <w:lang w:eastAsia="en-US"/>
              </w:rPr>
              <w:t xml:space="preserve">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2C79DF3E">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2C79DF3E">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B10FC8">
        <w:trPr>
          <w:cantSplit/>
          <w:trHeight w:val="20"/>
        </w:trPr>
        <w:tc>
          <w:tcPr>
            <w:tcW w:w="886" w:type="dxa"/>
            <w:vMerge w:val="restart"/>
            <w:shd w:val="clear" w:color="auto" w:fill="FFFFFF" w:themeFill="background1"/>
            <w:textDirection w:val="btLr"/>
            <w:hideMark/>
          </w:tcPr>
          <w:p w14:paraId="18DBA109" w14:textId="181E5021"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.2.2 How</w:t>
            </w:r>
            <w:r w:rsidR="00780F37" w:rsidRPr="00780F37">
              <w:rPr>
                <w:rFonts w:asciiTheme="minorHAnsi" w:hAnsiTheme="minorHAnsi" w:cstheme="minorBidi"/>
                <w:b/>
                <w:bCs/>
                <w:sz w:val="20"/>
                <w:szCs w:val="20"/>
                <w:lang w:eastAsia="en-US"/>
              </w:rPr>
              <w:t xml:space="preserve"> bonding and structure are related to the properties of substances</w:t>
            </w:r>
            <w:r w:rsidR="00532746">
              <w:rPr>
                <w:rFonts w:asciiTheme="minorHAnsi" w:hAnsiTheme="minorHAnsi" w:cstheme="minorBidi"/>
                <w:b/>
                <w:bCs/>
                <w:sz w:val="20"/>
                <w:szCs w:val="20"/>
                <w:lang w:eastAsia="en-US"/>
              </w:rPr>
              <w:t xml:space="preserve"> and 5.2.3 Structure and Bonding of Carbon</w:t>
            </w:r>
          </w:p>
        </w:tc>
        <w:tc>
          <w:tcPr>
            <w:tcW w:w="8799" w:type="dxa"/>
            <w:shd w:val="clear" w:color="auto" w:fill="FFFF00"/>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B10FC8">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B10FC8">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tcPr>
          <w:p w14:paraId="738D4C72" w14:textId="332384D4" w:rsidR="00780F37" w:rsidRPr="00780F37" w:rsidRDefault="00780F37">
            <w:pPr>
              <w:rPr>
                <w:rFonts w:asciiTheme="minorHAnsi" w:hAnsiTheme="minorHAnsi" w:cstheme="minorBidi"/>
                <w:b/>
                <w:bCs/>
                <w:sz w:val="20"/>
                <w:szCs w:val="20"/>
                <w:lang w:eastAsia="en-US"/>
              </w:rPr>
            </w:pP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B10FC8">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w:t>
            </w:r>
            <w:proofErr w:type="spellStart"/>
            <w:r w:rsidRPr="00780F37">
              <w:rPr>
                <w:rFonts w:asciiTheme="minorHAnsi" w:hAnsiTheme="minorHAnsi" w:cstheme="minorBidi"/>
                <w:sz w:val="20"/>
                <w:szCs w:val="20"/>
                <w:lang w:eastAsia="en-US"/>
              </w:rPr>
              <w:t>aq</w:t>
            </w:r>
            <w:proofErr w:type="spellEnd"/>
            <w:r w:rsidRPr="00780F37">
              <w:rPr>
                <w:rFonts w:asciiTheme="minorHAnsi" w:hAnsiTheme="minorHAnsi" w:cstheme="minorBidi"/>
                <w:sz w:val="20"/>
                <w:szCs w:val="20"/>
                <w:lang w:eastAsia="en-US"/>
              </w:rPr>
              <w:t xml:space="preserve">)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B10FC8">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B10FC8">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B10FC8">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B10FC8">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B10FC8">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B10FC8">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B10FC8">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w:t>
            </w:r>
            <w:proofErr w:type="gramStart"/>
            <w:r w:rsidRPr="00780F37">
              <w:rPr>
                <w:rFonts w:asciiTheme="minorHAnsi" w:hAnsiTheme="minorHAnsi" w:cstheme="minorBidi"/>
                <w:sz w:val="20"/>
                <w:szCs w:val="20"/>
                <w:lang w:eastAsia="en-US"/>
              </w:rPr>
              <w:t>diamond</w:t>
            </w:r>
            <w:proofErr w:type="gramEnd"/>
            <w:r w:rsidRPr="00780F37">
              <w:rPr>
                <w:rFonts w:asciiTheme="minorHAnsi" w:hAnsiTheme="minorHAnsi" w:cstheme="minorBidi"/>
                <w:sz w:val="20"/>
                <w:szCs w:val="20"/>
                <w:lang w:eastAsia="en-US"/>
              </w:rPr>
              <w:t xml:space="preserve">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B10FC8">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shd w:val="clear" w:color="auto" w:fill="FFFF00"/>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C328FE">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tcPr>
          <w:p w14:paraId="7234AA05" w14:textId="74AB8FEE" w:rsidR="004F5D13" w:rsidRPr="00780F37" w:rsidRDefault="004F5D13" w:rsidP="004F5D13">
            <w:pPr>
              <w:rPr>
                <w:rFonts w:asciiTheme="minorHAnsi" w:hAnsiTheme="minorHAnsi"/>
                <w:b/>
                <w:bCs/>
                <w:sz w:val="20"/>
                <w:szCs w:val="20"/>
              </w:rPr>
            </w:pP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C328FE">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tcPr>
          <w:p w14:paraId="1C9A868F" w14:textId="74BD9245" w:rsidR="004F5D13" w:rsidRPr="00780F37" w:rsidRDefault="004F5D13" w:rsidP="004F5D13">
            <w:pPr>
              <w:rPr>
                <w:rFonts w:asciiTheme="minorHAnsi" w:hAnsiTheme="minorHAnsi"/>
                <w:b/>
                <w:bCs/>
                <w:sz w:val="20"/>
                <w:szCs w:val="20"/>
              </w:rPr>
            </w:pP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C328FE">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tcPr>
          <w:p w14:paraId="35A0A1B9" w14:textId="27A1682A" w:rsidR="004F5D13" w:rsidRPr="00780F37" w:rsidRDefault="004F5D13" w:rsidP="004F5D13">
            <w:pPr>
              <w:rPr>
                <w:rFonts w:asciiTheme="minorHAnsi" w:hAnsiTheme="minorHAnsi"/>
                <w:b/>
                <w:bCs/>
                <w:sz w:val="20"/>
                <w:szCs w:val="20"/>
              </w:rPr>
            </w:pP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C328FE">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tcPr>
          <w:p w14:paraId="63228F7D" w14:textId="7625D9EA" w:rsidR="004F5D13" w:rsidRPr="00780F37" w:rsidRDefault="004F5D13" w:rsidP="004F5D13">
            <w:pPr>
              <w:rPr>
                <w:rFonts w:asciiTheme="minorHAnsi" w:hAnsiTheme="minorHAnsi"/>
                <w:b/>
                <w:bCs/>
                <w:sz w:val="20"/>
                <w:szCs w:val="20"/>
              </w:rPr>
            </w:pP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C328FE">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tcPr>
          <w:p w14:paraId="386E0B77" w14:textId="2525CADD" w:rsidR="004F5D13" w:rsidRPr="00780F37" w:rsidRDefault="004F5D13" w:rsidP="004F5D13">
            <w:pPr>
              <w:rPr>
                <w:rFonts w:asciiTheme="minorHAnsi" w:hAnsiTheme="minorHAnsi"/>
                <w:b/>
                <w:bCs/>
                <w:sz w:val="20"/>
                <w:szCs w:val="20"/>
              </w:rPr>
            </w:pP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w:t>
            </w:r>
            <w:proofErr w:type="gramStart"/>
            <w:r w:rsidRPr="00780F37">
              <w:rPr>
                <w:rFonts w:asciiTheme="minorHAnsi" w:hAnsiTheme="minorHAnsi"/>
                <w:sz w:val="20"/>
                <w:szCs w:val="20"/>
              </w:rPr>
              <w:t>in a given</w:t>
            </w:r>
            <w:proofErr w:type="gramEnd"/>
            <w:r w:rsidRPr="00780F37">
              <w:rPr>
                <w:rFonts w:asciiTheme="minorHAnsi" w:hAnsiTheme="minorHAnsi"/>
                <w:sz w:val="20"/>
                <w:szCs w:val="20"/>
              </w:rPr>
              <w:t xml:space="preserve">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9B199B">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35E446A5"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FF73B6">
        <w:trPr>
          <w:cantSplit/>
          <w:trHeight w:val="296"/>
        </w:trPr>
        <w:tc>
          <w:tcPr>
            <w:tcW w:w="10450" w:type="dxa"/>
            <w:gridSpan w:val="5"/>
            <w:shd w:val="clear" w:color="auto" w:fill="auto"/>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FF73B6">
        <w:trPr>
          <w:cantSplit/>
          <w:trHeight w:val="20"/>
        </w:trPr>
        <w:tc>
          <w:tcPr>
            <w:tcW w:w="663" w:type="dxa"/>
            <w:shd w:val="clear" w:color="auto" w:fill="auto"/>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shd w:val="clear" w:color="auto" w:fill="auto"/>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auto"/>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auto"/>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auto"/>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7E3C37">
        <w:trPr>
          <w:cantSplit/>
          <w:trHeight w:val="20"/>
        </w:trPr>
        <w:tc>
          <w:tcPr>
            <w:tcW w:w="663" w:type="dxa"/>
            <w:vMerge w:val="restart"/>
            <w:shd w:val="clear" w:color="auto" w:fill="auto"/>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shd w:val="clear" w:color="auto" w:fill="FFFF00"/>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shd w:val="clear" w:color="auto" w:fill="auto"/>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7E3C37">
        <w:trPr>
          <w:cantSplit/>
          <w:trHeight w:val="20"/>
        </w:trPr>
        <w:tc>
          <w:tcPr>
            <w:tcW w:w="663" w:type="dxa"/>
            <w:vMerge/>
            <w:shd w:val="clear" w:color="auto" w:fill="auto"/>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shd w:val="clear" w:color="auto" w:fill="auto"/>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7E3C37">
        <w:trPr>
          <w:cantSplit/>
          <w:trHeight w:val="20"/>
        </w:trPr>
        <w:tc>
          <w:tcPr>
            <w:tcW w:w="663" w:type="dxa"/>
            <w:vMerge/>
            <w:shd w:val="clear" w:color="auto" w:fill="auto"/>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shd w:val="clear" w:color="auto" w:fill="auto"/>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7E3C37">
        <w:trPr>
          <w:cantSplit/>
          <w:trHeight w:val="20"/>
        </w:trPr>
        <w:tc>
          <w:tcPr>
            <w:tcW w:w="663" w:type="dxa"/>
            <w:vMerge/>
            <w:shd w:val="clear" w:color="auto" w:fill="auto"/>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shd w:val="clear" w:color="auto" w:fill="auto"/>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7E3C37">
        <w:trPr>
          <w:cantSplit/>
          <w:trHeight w:val="20"/>
        </w:trPr>
        <w:tc>
          <w:tcPr>
            <w:tcW w:w="663" w:type="dxa"/>
            <w:vMerge/>
            <w:shd w:val="clear" w:color="auto" w:fill="auto"/>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shd w:val="clear" w:color="auto" w:fill="auto"/>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7E3C37">
        <w:trPr>
          <w:cantSplit/>
          <w:trHeight w:val="20"/>
        </w:trPr>
        <w:tc>
          <w:tcPr>
            <w:tcW w:w="663" w:type="dxa"/>
            <w:vMerge/>
            <w:shd w:val="clear" w:color="auto" w:fill="auto"/>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shd w:val="clear" w:color="auto" w:fill="auto"/>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C328FE">
        <w:trPr>
          <w:cantSplit/>
          <w:trHeight w:val="20"/>
        </w:trPr>
        <w:tc>
          <w:tcPr>
            <w:tcW w:w="663" w:type="dxa"/>
            <w:vMerge w:val="restart"/>
            <w:shd w:val="clear" w:color="auto" w:fill="auto"/>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shd w:val="clear" w:color="auto" w:fill="auto"/>
          </w:tcPr>
          <w:p w14:paraId="4F79D81A" w14:textId="1176F0ED"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C328FE">
        <w:trPr>
          <w:cantSplit/>
          <w:trHeight w:val="20"/>
        </w:trPr>
        <w:tc>
          <w:tcPr>
            <w:tcW w:w="663" w:type="dxa"/>
            <w:vMerge/>
            <w:shd w:val="clear" w:color="auto" w:fill="auto"/>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shd w:val="clear" w:color="auto" w:fill="auto"/>
          </w:tcPr>
          <w:p w14:paraId="727763D6" w14:textId="1B05646E"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C328FE">
        <w:trPr>
          <w:cantSplit/>
          <w:trHeight w:val="20"/>
        </w:trPr>
        <w:tc>
          <w:tcPr>
            <w:tcW w:w="663" w:type="dxa"/>
            <w:vMerge/>
            <w:shd w:val="clear" w:color="auto" w:fill="auto"/>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shd w:val="clear" w:color="auto" w:fill="auto"/>
          </w:tcPr>
          <w:p w14:paraId="4DE81266" w14:textId="38EA8982"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7E3C37">
        <w:trPr>
          <w:cantSplit/>
          <w:trHeight w:val="20"/>
        </w:trPr>
        <w:tc>
          <w:tcPr>
            <w:tcW w:w="663" w:type="dxa"/>
            <w:vMerge/>
            <w:shd w:val="clear" w:color="auto" w:fill="auto"/>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shd w:val="clear" w:color="auto" w:fill="auto"/>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7E3C37">
        <w:trPr>
          <w:cantSplit/>
          <w:trHeight w:val="539"/>
        </w:trPr>
        <w:tc>
          <w:tcPr>
            <w:tcW w:w="663" w:type="dxa"/>
            <w:vMerge/>
            <w:shd w:val="clear" w:color="auto" w:fill="auto"/>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shd w:val="clear" w:color="auto" w:fill="auto"/>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7E3C37">
        <w:trPr>
          <w:cantSplit/>
          <w:trHeight w:val="20"/>
        </w:trPr>
        <w:tc>
          <w:tcPr>
            <w:tcW w:w="663" w:type="dxa"/>
            <w:vMerge/>
            <w:shd w:val="clear" w:color="auto" w:fill="auto"/>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shd w:val="clear" w:color="auto" w:fill="auto"/>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B10FC8">
        <w:trPr>
          <w:cantSplit/>
          <w:trHeight w:val="20"/>
        </w:trPr>
        <w:tc>
          <w:tcPr>
            <w:tcW w:w="663" w:type="dxa"/>
            <w:vMerge/>
            <w:shd w:val="clear" w:color="auto" w:fill="auto"/>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shd w:val="clear" w:color="auto" w:fill="FFD966" w:themeFill="accent4" w:themeFillTint="99"/>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shd w:val="clear" w:color="auto" w:fill="auto"/>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7E3C37">
        <w:trPr>
          <w:cantSplit/>
          <w:trHeight w:val="20"/>
        </w:trPr>
        <w:tc>
          <w:tcPr>
            <w:tcW w:w="663" w:type="dxa"/>
            <w:vMerge/>
            <w:shd w:val="clear" w:color="auto" w:fill="auto"/>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w:t>
            </w:r>
            <w:proofErr w:type="gramStart"/>
            <w:r w:rsidRPr="006B69A8">
              <w:rPr>
                <w:rFonts w:asciiTheme="minorHAnsi" w:hAnsiTheme="minorHAnsi"/>
                <w:sz w:val="20"/>
                <w:szCs w:val="20"/>
              </w:rPr>
              <w:t>neutral</w:t>
            </w:r>
            <w:proofErr w:type="gramEnd"/>
            <w:r w:rsidRPr="006B69A8">
              <w:rPr>
                <w:rFonts w:asciiTheme="minorHAnsi" w:hAnsiTheme="minorHAnsi"/>
                <w:sz w:val="20"/>
                <w:szCs w:val="20"/>
              </w:rPr>
              <w:t xml:space="preserve"> or alkaline solutions</w:t>
            </w:r>
          </w:p>
        </w:tc>
        <w:tc>
          <w:tcPr>
            <w:tcW w:w="337" w:type="dxa"/>
            <w:shd w:val="clear" w:color="auto" w:fill="auto"/>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7E3C37">
        <w:trPr>
          <w:cantSplit/>
          <w:trHeight w:val="20"/>
        </w:trPr>
        <w:tc>
          <w:tcPr>
            <w:tcW w:w="663" w:type="dxa"/>
            <w:vMerge/>
            <w:shd w:val="clear" w:color="auto" w:fill="auto"/>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shd w:val="clear" w:color="auto" w:fill="auto"/>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7E3C37">
        <w:trPr>
          <w:cantSplit/>
          <w:trHeight w:val="20"/>
        </w:trPr>
        <w:tc>
          <w:tcPr>
            <w:tcW w:w="663" w:type="dxa"/>
            <w:vMerge/>
            <w:shd w:val="clear" w:color="auto" w:fill="auto"/>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shd w:val="clear" w:color="auto" w:fill="auto"/>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C328FE">
        <w:trPr>
          <w:cantSplit/>
          <w:trHeight w:val="20"/>
        </w:trPr>
        <w:tc>
          <w:tcPr>
            <w:tcW w:w="663" w:type="dxa"/>
            <w:vMerge/>
            <w:shd w:val="clear" w:color="auto" w:fill="auto"/>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shd w:val="clear" w:color="auto" w:fill="auto"/>
          </w:tcPr>
          <w:p w14:paraId="321BD44C" w14:textId="18AA06E3"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C328FE">
        <w:trPr>
          <w:cantSplit/>
          <w:trHeight w:val="20"/>
        </w:trPr>
        <w:tc>
          <w:tcPr>
            <w:tcW w:w="663" w:type="dxa"/>
            <w:vMerge/>
            <w:shd w:val="clear" w:color="auto" w:fill="auto"/>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shd w:val="clear" w:color="auto" w:fill="auto"/>
          </w:tcPr>
          <w:p w14:paraId="5C6FD04F" w14:textId="4DD6F0F4"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7E3C37">
        <w:trPr>
          <w:cantSplit/>
          <w:trHeight w:val="20"/>
        </w:trPr>
        <w:tc>
          <w:tcPr>
            <w:tcW w:w="663" w:type="dxa"/>
            <w:vMerge w:val="restart"/>
            <w:shd w:val="clear" w:color="auto" w:fill="auto"/>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shd w:val="clear" w:color="auto" w:fill="FFFF00"/>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shd w:val="clear" w:color="auto" w:fill="auto"/>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7E3C37">
        <w:trPr>
          <w:cantSplit/>
          <w:trHeight w:val="20"/>
        </w:trPr>
        <w:tc>
          <w:tcPr>
            <w:tcW w:w="663" w:type="dxa"/>
            <w:vMerge/>
            <w:shd w:val="clear" w:color="auto" w:fill="auto"/>
            <w:hideMark/>
          </w:tcPr>
          <w:p w14:paraId="0B81C0A3"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shd w:val="clear" w:color="auto" w:fill="auto"/>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7E3C37">
        <w:trPr>
          <w:cantSplit/>
          <w:trHeight w:val="20"/>
        </w:trPr>
        <w:tc>
          <w:tcPr>
            <w:tcW w:w="663" w:type="dxa"/>
            <w:vMerge/>
            <w:shd w:val="clear" w:color="auto" w:fill="auto"/>
            <w:hideMark/>
          </w:tcPr>
          <w:p w14:paraId="6AD868E4"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shd w:val="clear" w:color="auto" w:fill="auto"/>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7E3C37">
        <w:trPr>
          <w:cantSplit/>
          <w:trHeight w:val="20"/>
        </w:trPr>
        <w:tc>
          <w:tcPr>
            <w:tcW w:w="663" w:type="dxa"/>
            <w:vMerge/>
            <w:shd w:val="clear" w:color="auto" w:fill="auto"/>
            <w:hideMark/>
          </w:tcPr>
          <w:p w14:paraId="3E3D6EBD"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shd w:val="clear" w:color="auto" w:fill="auto"/>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7E3C37">
        <w:trPr>
          <w:cantSplit/>
          <w:trHeight w:val="20"/>
        </w:trPr>
        <w:tc>
          <w:tcPr>
            <w:tcW w:w="663" w:type="dxa"/>
            <w:vMerge/>
            <w:shd w:val="clear" w:color="auto" w:fill="auto"/>
            <w:hideMark/>
          </w:tcPr>
          <w:p w14:paraId="5331946E"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shd w:val="clear" w:color="auto" w:fill="auto"/>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B10FC8">
        <w:trPr>
          <w:cantSplit/>
          <w:trHeight w:val="20"/>
        </w:trPr>
        <w:tc>
          <w:tcPr>
            <w:tcW w:w="663" w:type="dxa"/>
            <w:vMerge/>
            <w:shd w:val="clear" w:color="auto" w:fill="auto"/>
            <w:hideMark/>
          </w:tcPr>
          <w:p w14:paraId="345C3734" w14:textId="77777777" w:rsidR="006B69A8" w:rsidRPr="006B69A8" w:rsidRDefault="006B69A8">
            <w:pPr>
              <w:rPr>
                <w:rFonts w:asciiTheme="minorHAnsi" w:hAnsiTheme="minorHAnsi"/>
                <w:b/>
                <w:bCs/>
                <w:sz w:val="20"/>
                <w:szCs w:val="20"/>
              </w:rPr>
            </w:pPr>
          </w:p>
        </w:tc>
        <w:tc>
          <w:tcPr>
            <w:tcW w:w="8776" w:type="dxa"/>
            <w:shd w:val="clear" w:color="auto" w:fill="FFD966" w:themeFill="accent4" w:themeFillTint="99"/>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shd w:val="clear" w:color="auto" w:fill="auto"/>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B10FC8">
        <w:trPr>
          <w:cantSplit/>
          <w:trHeight w:val="20"/>
        </w:trPr>
        <w:tc>
          <w:tcPr>
            <w:tcW w:w="663" w:type="dxa"/>
            <w:vMerge/>
            <w:shd w:val="clear" w:color="auto" w:fill="auto"/>
            <w:hideMark/>
          </w:tcPr>
          <w:p w14:paraId="14879DC1" w14:textId="77777777" w:rsidR="006B69A8" w:rsidRPr="006B69A8" w:rsidRDefault="006B69A8">
            <w:pPr>
              <w:rPr>
                <w:rFonts w:asciiTheme="minorHAnsi" w:hAnsiTheme="minorHAnsi"/>
                <w:b/>
                <w:bCs/>
                <w:sz w:val="20"/>
                <w:szCs w:val="20"/>
              </w:rPr>
            </w:pPr>
          </w:p>
        </w:tc>
        <w:tc>
          <w:tcPr>
            <w:tcW w:w="8776" w:type="dxa"/>
            <w:shd w:val="clear" w:color="auto" w:fill="FFD966" w:themeFill="accent4" w:themeFillTint="99"/>
            <w:hideMark/>
          </w:tcPr>
          <w:p w14:paraId="31BBA4B2" w14:textId="49E6AD36" w:rsidR="006B69A8" w:rsidRPr="006B69A8" w:rsidRDefault="006B69A8">
            <w:pPr>
              <w:rPr>
                <w:rFonts w:asciiTheme="minorHAnsi" w:hAnsiTheme="minorHAnsi"/>
                <w:b/>
                <w:bCs/>
                <w:sz w:val="20"/>
                <w:szCs w:val="20"/>
              </w:rPr>
            </w:pPr>
          </w:p>
        </w:tc>
        <w:tc>
          <w:tcPr>
            <w:tcW w:w="337" w:type="dxa"/>
            <w:shd w:val="clear" w:color="auto" w:fill="auto"/>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shd w:val="clear" w:color="auto" w:fill="auto"/>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rsidP="00B10FC8">
      <w:pPr>
        <w:jc w:val="right"/>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FF73B6">
        <w:trPr>
          <w:cantSplit/>
          <w:trHeight w:val="20"/>
        </w:trPr>
        <w:tc>
          <w:tcPr>
            <w:tcW w:w="10450" w:type="dxa"/>
            <w:gridSpan w:val="5"/>
            <w:shd w:val="clear" w:color="auto" w:fill="auto"/>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FF73B6">
        <w:trPr>
          <w:cantSplit/>
          <w:trHeight w:val="20"/>
        </w:trPr>
        <w:tc>
          <w:tcPr>
            <w:tcW w:w="795" w:type="dxa"/>
            <w:shd w:val="clear" w:color="auto" w:fill="auto"/>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shd w:val="clear" w:color="auto" w:fill="auto"/>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auto"/>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auto"/>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auto"/>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FF73B6">
        <w:trPr>
          <w:cantSplit/>
          <w:trHeight w:val="20"/>
        </w:trPr>
        <w:tc>
          <w:tcPr>
            <w:tcW w:w="795" w:type="dxa"/>
            <w:vMerge w:val="restart"/>
            <w:shd w:val="clear" w:color="auto" w:fill="auto"/>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shd w:val="clear" w:color="auto" w:fill="auto"/>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shd w:val="clear" w:color="auto" w:fill="auto"/>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FF73B6">
        <w:trPr>
          <w:cantSplit/>
          <w:trHeight w:val="20"/>
        </w:trPr>
        <w:tc>
          <w:tcPr>
            <w:tcW w:w="795" w:type="dxa"/>
            <w:vMerge/>
            <w:shd w:val="clear" w:color="auto" w:fill="auto"/>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shd w:val="clear" w:color="auto" w:fill="auto"/>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w:t>
            </w:r>
            <w:proofErr w:type="gramStart"/>
            <w:r w:rsidRPr="006B69A8">
              <w:rPr>
                <w:rFonts w:asciiTheme="minorHAnsi" w:hAnsiTheme="minorHAnsi"/>
                <w:sz w:val="20"/>
                <w:szCs w:val="20"/>
              </w:rPr>
              <w:t>on the basis of</w:t>
            </w:r>
            <w:proofErr w:type="gramEnd"/>
            <w:r w:rsidRPr="006B69A8">
              <w:rPr>
                <w:rFonts w:asciiTheme="minorHAnsi" w:hAnsiTheme="minorHAnsi"/>
                <w:sz w:val="20"/>
                <w:szCs w:val="20"/>
              </w:rPr>
              <w:t xml:space="preserve"> the temperature change of the surroundings and give examples of everyday uses</w:t>
            </w:r>
          </w:p>
        </w:tc>
        <w:tc>
          <w:tcPr>
            <w:tcW w:w="337" w:type="dxa"/>
            <w:shd w:val="clear" w:color="auto" w:fill="auto"/>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B10FC8">
        <w:trPr>
          <w:cantSplit/>
          <w:trHeight w:val="20"/>
        </w:trPr>
        <w:tc>
          <w:tcPr>
            <w:tcW w:w="795" w:type="dxa"/>
            <w:vMerge/>
            <w:shd w:val="clear" w:color="auto" w:fill="auto"/>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shd w:val="clear" w:color="auto" w:fill="FFD966" w:themeFill="accent4" w:themeFillTint="99"/>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shd w:val="clear" w:color="auto" w:fill="auto"/>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FF73B6">
        <w:trPr>
          <w:cantSplit/>
          <w:trHeight w:val="20"/>
        </w:trPr>
        <w:tc>
          <w:tcPr>
            <w:tcW w:w="795" w:type="dxa"/>
            <w:vMerge/>
            <w:shd w:val="clear" w:color="auto" w:fill="auto"/>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shd w:val="clear" w:color="auto" w:fill="auto"/>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shd w:val="clear" w:color="auto" w:fill="auto"/>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FF73B6">
        <w:trPr>
          <w:cantSplit/>
          <w:trHeight w:val="20"/>
        </w:trPr>
        <w:tc>
          <w:tcPr>
            <w:tcW w:w="795" w:type="dxa"/>
            <w:vMerge/>
            <w:shd w:val="clear" w:color="auto" w:fill="auto"/>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shd w:val="clear" w:color="auto" w:fill="auto"/>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w:t>
            </w:r>
            <w:proofErr w:type="spellStart"/>
            <w:r w:rsidRPr="006B69A8">
              <w:rPr>
                <w:rFonts w:asciiTheme="minorHAnsi" w:hAnsiTheme="minorHAnsi"/>
                <w:sz w:val="20"/>
                <w:szCs w:val="20"/>
              </w:rPr>
              <w:t>inc</w:t>
            </w:r>
            <w:proofErr w:type="spellEnd"/>
            <w:r w:rsidRPr="006B69A8">
              <w:rPr>
                <w:rFonts w:asciiTheme="minorHAnsi" w:hAnsiTheme="minorHAnsi"/>
                <w:sz w:val="20"/>
                <w:szCs w:val="20"/>
              </w:rPr>
              <w:t xml:space="preserve"> identifying the relative energies of reactants and products, activation energy and overall energy change</w:t>
            </w:r>
          </w:p>
        </w:tc>
        <w:tc>
          <w:tcPr>
            <w:tcW w:w="337" w:type="dxa"/>
            <w:shd w:val="clear" w:color="auto" w:fill="auto"/>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FF73B6">
        <w:trPr>
          <w:cantSplit/>
          <w:trHeight w:val="20"/>
        </w:trPr>
        <w:tc>
          <w:tcPr>
            <w:tcW w:w="795" w:type="dxa"/>
            <w:vMerge/>
            <w:shd w:val="clear" w:color="auto" w:fill="auto"/>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shd w:val="clear" w:color="auto" w:fill="auto"/>
            <w:hideMark/>
          </w:tcPr>
          <w:p w14:paraId="74BA4CF2" w14:textId="318FD206"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w:t>
            </w:r>
          </w:p>
        </w:tc>
        <w:tc>
          <w:tcPr>
            <w:tcW w:w="337" w:type="dxa"/>
            <w:shd w:val="clear" w:color="auto" w:fill="auto"/>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shd w:val="clear" w:color="auto" w:fill="auto"/>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034BA3FD" w14:textId="77777777" w:rsidR="006B69A8" w:rsidRDefault="006B69A8"/>
    <w:sectPr w:rsidR="006B69A8" w:rsidSect="00780F3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A0B3" w14:textId="77777777" w:rsidR="00BB2E99" w:rsidRDefault="00BB2E99" w:rsidP="004F5D13">
      <w:r>
        <w:separator/>
      </w:r>
    </w:p>
  </w:endnote>
  <w:endnote w:type="continuationSeparator" w:id="0">
    <w:p w14:paraId="0C498518" w14:textId="77777777" w:rsidR="00BB2E99" w:rsidRDefault="00BB2E99"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685">
      <w:rPr>
        <w:rStyle w:val="PageNumber"/>
        <w:noProof/>
      </w:rPr>
      <w:t>2</w:t>
    </w:r>
    <w:r>
      <w:rPr>
        <w:rStyle w:val="PageNumber"/>
      </w:rPr>
      <w:fldChar w:fldCharType="end"/>
    </w:r>
  </w:p>
  <w:p w14:paraId="64E4B7E4" w14:textId="789C2EDC" w:rsidR="0026716D" w:rsidRPr="0026716D" w:rsidRDefault="0026716D" w:rsidP="0026716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5FF8" w14:textId="77777777" w:rsidR="00581C5F" w:rsidRDefault="0058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37D0" w14:textId="77777777" w:rsidR="00BB2E99" w:rsidRDefault="00BB2E99" w:rsidP="004F5D13">
      <w:r>
        <w:separator/>
      </w:r>
    </w:p>
  </w:footnote>
  <w:footnote w:type="continuationSeparator" w:id="0">
    <w:p w14:paraId="64EAE1BA" w14:textId="77777777" w:rsidR="00BB2E99" w:rsidRDefault="00BB2E99"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E8F3" w14:textId="77777777" w:rsidR="00581C5F" w:rsidRDefault="0058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CCD4" w14:textId="4E27B0CA" w:rsidR="004F5D13" w:rsidRPr="00E75D40" w:rsidRDefault="004F5D13" w:rsidP="004F5D13">
    <w:pPr>
      <w:jc w:val="center"/>
      <w:rPr>
        <w:b/>
      </w:rPr>
    </w:pP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r w:rsidR="00581C5F">
      <w:rPr>
        <w:rFonts w:asciiTheme="minorHAnsi" w:hAnsiTheme="minorHAnsi"/>
        <w:b/>
        <w:sz w:val="28"/>
        <w:szCs w:val="22"/>
      </w:rPr>
      <w:t xml:space="preserve"> </w:t>
    </w:r>
    <w:r w:rsidR="00581C5F">
      <w:rPr>
        <w:rFonts w:asciiTheme="minorHAnsi" w:hAnsiTheme="minorHAnsi"/>
        <w:b/>
        <w:sz w:val="28"/>
        <w:szCs w:val="22"/>
      </w:rPr>
      <w:t>Foundation</w:t>
    </w:r>
  </w:p>
  <w:p w14:paraId="5CE01350" w14:textId="77777777" w:rsidR="004F5D13" w:rsidRDefault="004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F0C" w14:textId="77777777" w:rsidR="00581C5F" w:rsidRDefault="00581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F37"/>
    <w:rsid w:val="00060685"/>
    <w:rsid w:val="00074C96"/>
    <w:rsid w:val="00087771"/>
    <w:rsid w:val="00095293"/>
    <w:rsid w:val="00135C17"/>
    <w:rsid w:val="00164D9C"/>
    <w:rsid w:val="0026716D"/>
    <w:rsid w:val="003B1662"/>
    <w:rsid w:val="003E0252"/>
    <w:rsid w:val="004F5D13"/>
    <w:rsid w:val="00531815"/>
    <w:rsid w:val="00532746"/>
    <w:rsid w:val="00576F7B"/>
    <w:rsid w:val="00581C5F"/>
    <w:rsid w:val="005E5F1D"/>
    <w:rsid w:val="006714B5"/>
    <w:rsid w:val="006B69A8"/>
    <w:rsid w:val="00780F37"/>
    <w:rsid w:val="007A5370"/>
    <w:rsid w:val="007E3C37"/>
    <w:rsid w:val="007F4EE0"/>
    <w:rsid w:val="008D7110"/>
    <w:rsid w:val="009113D8"/>
    <w:rsid w:val="009545FC"/>
    <w:rsid w:val="009A1E4D"/>
    <w:rsid w:val="009B199B"/>
    <w:rsid w:val="009C3F92"/>
    <w:rsid w:val="00AE393A"/>
    <w:rsid w:val="00B10FC8"/>
    <w:rsid w:val="00B63BEB"/>
    <w:rsid w:val="00B87FC8"/>
    <w:rsid w:val="00BB2E99"/>
    <w:rsid w:val="00C328FE"/>
    <w:rsid w:val="00C35F8E"/>
    <w:rsid w:val="00C86728"/>
    <w:rsid w:val="00CB7AEC"/>
    <w:rsid w:val="00D557CA"/>
    <w:rsid w:val="00E166D8"/>
    <w:rsid w:val="00E93D3A"/>
    <w:rsid w:val="00ED0C69"/>
    <w:rsid w:val="00F71FC2"/>
    <w:rsid w:val="00FE092A"/>
    <w:rsid w:val="00FF73B6"/>
    <w:rsid w:val="2C79DF3E"/>
    <w:rsid w:val="4733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docId w15:val="{08DC0885-D8EF-49B2-9663-9DE4EDB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B043D-3EFC-46E0-A19D-9B1846971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76F06-1136-4FDE-8D30-3B8810FEDE03}">
  <ds:schemaRefs>
    <ds:schemaRef ds:uri="http://schemas.microsoft.com/sharepoint/v3/contenttype/forms"/>
  </ds:schemaRefs>
</ds:datastoreItem>
</file>

<file path=customXml/itemProps3.xml><?xml version="1.0" encoding="utf-8"?>
<ds:datastoreItem xmlns:ds="http://schemas.openxmlformats.org/officeDocument/2006/customXml" ds:itemID="{63A77CB1-15AB-4B0F-9EE8-425CD5EE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Mrs. J. Watson</cp:lastModifiedBy>
  <cp:revision>7</cp:revision>
  <dcterms:created xsi:type="dcterms:W3CDTF">2022-02-08T20:11:00Z</dcterms:created>
  <dcterms:modified xsi:type="dcterms:W3CDTF">2022-02-08T20:19:00Z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