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97" w:rsidRPr="005B75E0" w:rsidRDefault="008E5F97" w:rsidP="008E5F97">
      <w:pPr>
        <w:pStyle w:val="Heading1"/>
        <w:spacing w:before="0"/>
        <w:jc w:val="center"/>
        <w:textAlignment w:val="baseline"/>
        <w:rPr>
          <w:rFonts w:asciiTheme="minorHAnsi" w:hAnsiTheme="minorHAnsi" w:cstheme="minorHAnsi"/>
          <w:sz w:val="24"/>
          <w:szCs w:val="24"/>
        </w:rPr>
      </w:pPr>
      <w:r w:rsidRPr="005B75E0">
        <w:rPr>
          <w:rFonts w:asciiTheme="minorHAnsi" w:hAnsiTheme="minorHAnsi" w:cstheme="minorHAnsi"/>
          <w:sz w:val="24"/>
          <w:szCs w:val="24"/>
        </w:rPr>
        <w:t xml:space="preserve">Bridgewater </w:t>
      </w:r>
      <w:r w:rsidR="00583760" w:rsidRPr="005B75E0">
        <w:rPr>
          <w:rFonts w:asciiTheme="minorHAnsi" w:hAnsiTheme="minorHAnsi" w:cstheme="minorHAnsi"/>
          <w:sz w:val="24"/>
          <w:szCs w:val="24"/>
          <w:u w:val="single"/>
        </w:rPr>
        <w:t>Science</w:t>
      </w:r>
      <w:r w:rsidR="00583760" w:rsidRPr="005B75E0">
        <w:rPr>
          <w:rFonts w:asciiTheme="minorHAnsi" w:hAnsiTheme="minorHAnsi" w:cstheme="minorHAnsi"/>
          <w:sz w:val="24"/>
          <w:szCs w:val="24"/>
        </w:rPr>
        <w:t xml:space="preserve"> </w:t>
      </w:r>
      <w:r w:rsidRPr="005B75E0">
        <w:rPr>
          <w:rFonts w:asciiTheme="minorHAnsi" w:hAnsiTheme="minorHAnsi" w:cstheme="minorHAnsi"/>
          <w:sz w:val="24"/>
          <w:szCs w:val="24"/>
        </w:rPr>
        <w:t>Curriculum Intent</w:t>
      </w:r>
    </w:p>
    <w:p w:rsidR="00583760" w:rsidRPr="005D7234" w:rsidRDefault="00583760" w:rsidP="00583760">
      <w:pPr>
        <w:numPr>
          <w:ilvl w:val="0"/>
          <w:numId w:val="27"/>
        </w:numPr>
        <w:spacing w:after="200" w:line="276" w:lineRule="auto"/>
        <w:contextualSpacing/>
        <w:rPr>
          <w:rFonts w:eastAsia="Times New Roman" w:cstheme="minorHAnsi"/>
          <w:lang w:val="en" w:eastAsia="en-GB"/>
        </w:rPr>
      </w:pPr>
      <w:r w:rsidRPr="005D7234">
        <w:rPr>
          <w:rFonts w:eastAsia="Times New Roman" w:cstheme="minorHAnsi"/>
          <w:lang w:val="en" w:eastAsia="en-GB"/>
        </w:rPr>
        <w:t xml:space="preserve">Our intent is to plan and teach an </w:t>
      </w:r>
      <w:r w:rsidRPr="005D7234">
        <w:rPr>
          <w:rFonts w:eastAsia="Times New Roman" w:cstheme="minorHAnsi"/>
          <w:b/>
          <w:lang w:val="en" w:eastAsia="en-GB"/>
        </w:rPr>
        <w:t>inspiring and memorable</w:t>
      </w:r>
      <w:r w:rsidRPr="005D7234">
        <w:rPr>
          <w:rFonts w:eastAsia="Times New Roman" w:cstheme="minorHAnsi"/>
          <w:lang w:val="en" w:eastAsia="en-GB"/>
        </w:rPr>
        <w:t xml:space="preserve"> science curriculum that inducts </w:t>
      </w:r>
      <w:r w:rsidRPr="005D7234">
        <w:rPr>
          <w:rFonts w:eastAsia="Times New Roman" w:cstheme="minorHAnsi"/>
          <w:b/>
          <w:u w:val="single"/>
          <w:lang w:val="en" w:eastAsia="en-GB"/>
        </w:rPr>
        <w:t>all</w:t>
      </w:r>
      <w:r w:rsidRPr="005D7234">
        <w:rPr>
          <w:rFonts w:eastAsia="Times New Roman" w:cstheme="minorHAnsi"/>
          <w:lang w:val="en" w:eastAsia="en-GB"/>
        </w:rPr>
        <w:t xml:space="preserve"> students into powerful knowledge leading to </w:t>
      </w:r>
      <w:r w:rsidR="00E82A15" w:rsidRPr="005D7234">
        <w:rPr>
          <w:rFonts w:eastAsia="Times New Roman" w:cstheme="minorHAnsi"/>
          <w:lang w:val="en" w:eastAsia="en-GB"/>
        </w:rPr>
        <w:t xml:space="preserve">the </w:t>
      </w:r>
      <w:r w:rsidR="000A15B3">
        <w:rPr>
          <w:rFonts w:eastAsia="Times New Roman" w:cstheme="minorHAnsi"/>
          <w:lang w:val="en" w:eastAsia="en-GB"/>
        </w:rPr>
        <w:t xml:space="preserve">specific </w:t>
      </w:r>
      <w:r w:rsidRPr="005D7234">
        <w:rPr>
          <w:rFonts w:eastAsia="Times New Roman" w:cstheme="minorHAnsi"/>
          <w:lang w:val="en" w:eastAsia="en-GB"/>
        </w:rPr>
        <w:t xml:space="preserve">development of the </w:t>
      </w:r>
      <w:r w:rsidR="000A15B3">
        <w:rPr>
          <w:rFonts w:eastAsia="Times New Roman" w:cstheme="minorHAnsi"/>
          <w:lang w:val="en" w:eastAsia="en-GB"/>
        </w:rPr>
        <w:t>substantive</w:t>
      </w:r>
      <w:r w:rsidRPr="005D7234">
        <w:rPr>
          <w:rFonts w:eastAsia="Times New Roman" w:cstheme="minorHAnsi"/>
          <w:lang w:val="en" w:eastAsia="en-GB"/>
        </w:rPr>
        <w:t xml:space="preserve"> and </w:t>
      </w:r>
      <w:r w:rsidR="000A15B3">
        <w:rPr>
          <w:rFonts w:eastAsia="Times New Roman" w:cstheme="minorHAnsi"/>
          <w:lang w:val="en" w:eastAsia="en-GB"/>
        </w:rPr>
        <w:t xml:space="preserve">disciplinary </w:t>
      </w:r>
      <w:r w:rsidR="000A15B3">
        <w:rPr>
          <w:rFonts w:eastAsia="Times New Roman" w:cstheme="minorHAnsi"/>
          <w:b/>
          <w:lang w:val="en" w:eastAsia="en-GB"/>
        </w:rPr>
        <w:t>knowledge</w:t>
      </w:r>
      <w:r w:rsidRPr="005D7234">
        <w:rPr>
          <w:rFonts w:eastAsia="Times New Roman" w:cstheme="minorHAnsi"/>
          <w:lang w:val="en" w:eastAsia="en-GB"/>
        </w:rPr>
        <w:t xml:space="preserve"> that allow access to</w:t>
      </w:r>
      <w:r w:rsidR="005B75E0" w:rsidRPr="005D7234">
        <w:rPr>
          <w:rFonts w:eastAsia="Times New Roman" w:cstheme="minorHAnsi"/>
          <w:lang w:val="en" w:eastAsia="en-GB"/>
        </w:rPr>
        <w:t xml:space="preserve"> humanity’s most rewarding </w:t>
      </w:r>
      <w:proofErr w:type="spellStart"/>
      <w:r w:rsidR="005B75E0" w:rsidRPr="005D7234">
        <w:rPr>
          <w:rFonts w:eastAsia="Times New Roman" w:cstheme="minorHAnsi"/>
          <w:lang w:val="en" w:eastAsia="en-GB"/>
        </w:rPr>
        <w:t>endea</w:t>
      </w:r>
      <w:r w:rsidRPr="005D7234">
        <w:rPr>
          <w:rFonts w:eastAsia="Times New Roman" w:cstheme="minorHAnsi"/>
          <w:lang w:val="en" w:eastAsia="en-GB"/>
        </w:rPr>
        <w:t>vours</w:t>
      </w:r>
      <w:proofErr w:type="spellEnd"/>
      <w:r w:rsidRPr="005D7234">
        <w:rPr>
          <w:rFonts w:eastAsia="Times New Roman" w:cstheme="minorHAnsi"/>
          <w:lang w:val="en" w:eastAsia="en-GB"/>
        </w:rPr>
        <w:t xml:space="preserve">. </w:t>
      </w:r>
    </w:p>
    <w:p w:rsidR="00583760" w:rsidRPr="005D7234" w:rsidRDefault="00583760" w:rsidP="00583760">
      <w:pPr>
        <w:spacing w:after="200" w:line="276" w:lineRule="auto"/>
        <w:ind w:left="720"/>
        <w:contextualSpacing/>
        <w:rPr>
          <w:rFonts w:eastAsia="Times New Roman" w:cstheme="minorHAnsi"/>
          <w:lang w:val="en" w:eastAsia="en-GB"/>
        </w:rPr>
      </w:pPr>
    </w:p>
    <w:p w:rsidR="00583760" w:rsidRPr="000A15B3" w:rsidRDefault="00583760" w:rsidP="000A15B3">
      <w:pPr>
        <w:numPr>
          <w:ilvl w:val="0"/>
          <w:numId w:val="27"/>
        </w:numPr>
        <w:spacing w:after="200" w:line="276" w:lineRule="auto"/>
        <w:contextualSpacing/>
        <w:rPr>
          <w:rStyle w:val="eop"/>
          <w:rFonts w:eastAsia="Times New Roman" w:cstheme="minorHAnsi"/>
          <w:b/>
          <w:lang w:val="en" w:eastAsia="en-GB"/>
        </w:rPr>
      </w:pPr>
      <w:r w:rsidRPr="000A15B3">
        <w:rPr>
          <w:rFonts w:eastAsia="Times New Roman" w:cstheme="minorHAnsi"/>
          <w:lang w:val="en" w:eastAsia="en-GB"/>
        </w:rPr>
        <w:t xml:space="preserve">Put simply, the curriculum intent is to </w:t>
      </w:r>
      <w:r w:rsidRPr="000A15B3">
        <w:rPr>
          <w:rFonts w:eastAsia="Times New Roman" w:cstheme="minorHAnsi"/>
          <w:b/>
          <w:u w:val="single"/>
          <w:lang w:val="en" w:eastAsia="en-GB"/>
        </w:rPr>
        <w:t>engage, support</w:t>
      </w:r>
      <w:r w:rsidRPr="000A15B3">
        <w:rPr>
          <w:rFonts w:eastAsia="Times New Roman" w:cstheme="minorHAnsi"/>
          <w:u w:val="single"/>
          <w:lang w:val="en" w:eastAsia="en-GB"/>
        </w:rPr>
        <w:t xml:space="preserve"> and </w:t>
      </w:r>
      <w:r w:rsidRPr="000A15B3">
        <w:rPr>
          <w:rFonts w:eastAsia="Times New Roman" w:cstheme="minorHAnsi"/>
          <w:b/>
          <w:u w:val="single"/>
          <w:lang w:val="en" w:eastAsia="en-GB"/>
        </w:rPr>
        <w:t>challenge</w:t>
      </w:r>
      <w:r w:rsidRPr="000A15B3">
        <w:rPr>
          <w:rFonts w:eastAsia="Times New Roman" w:cstheme="minorHAnsi"/>
          <w:lang w:val="en" w:eastAsia="en-GB"/>
        </w:rPr>
        <w:t xml:space="preserve"> learners at both Key stages 3 and 4 and in doing so provide all our learners with a strong grasp and understanding of the </w:t>
      </w:r>
      <w:r w:rsidRPr="000A15B3">
        <w:rPr>
          <w:rFonts w:eastAsia="Times New Roman" w:cstheme="minorHAnsi"/>
          <w:b/>
          <w:lang w:val="en" w:eastAsia="en-GB"/>
        </w:rPr>
        <w:t>fundamental science concepts that exist across biology, chemistry and physics</w:t>
      </w:r>
      <w:r w:rsidR="000A15B3" w:rsidRPr="000A15B3">
        <w:rPr>
          <w:rFonts w:eastAsia="Times New Roman" w:cstheme="minorHAnsi"/>
          <w:b/>
          <w:lang w:val="en" w:eastAsia="en-GB"/>
        </w:rPr>
        <w:t xml:space="preserve"> </w:t>
      </w:r>
      <w:r w:rsidR="000A15B3" w:rsidRPr="000A15B3">
        <w:rPr>
          <w:rFonts w:eastAsia="Times New Roman" w:cstheme="minorHAnsi"/>
          <w:lang w:val="en" w:eastAsia="en-GB"/>
        </w:rPr>
        <w:t xml:space="preserve">and for the curriculum to explicitly explain </w:t>
      </w:r>
      <w:r w:rsidR="000A15B3" w:rsidRPr="000A15B3">
        <w:rPr>
          <w:rStyle w:val="normaltextrun"/>
          <w:rFonts w:ascii="Calibri" w:hAnsi="Calibri" w:cs="Calibri"/>
          <w:b/>
          <w:color w:val="000000"/>
          <w:shd w:val="clear" w:color="auto" w:fill="FFFFFF"/>
        </w:rPr>
        <w:t>“How we know what we know and why we believe it” </w:t>
      </w:r>
    </w:p>
    <w:p w:rsidR="000A15B3" w:rsidRDefault="000A15B3" w:rsidP="000A15B3">
      <w:pPr>
        <w:pStyle w:val="ListParagraph"/>
        <w:rPr>
          <w:rFonts w:eastAsia="Times New Roman" w:cstheme="minorHAnsi"/>
          <w:lang w:val="en" w:eastAsia="en-GB"/>
        </w:rPr>
      </w:pPr>
      <w:bookmarkStart w:id="0" w:name="_GoBack"/>
      <w:bookmarkEnd w:id="0"/>
    </w:p>
    <w:p w:rsidR="000A15B3" w:rsidRPr="000A15B3" w:rsidRDefault="000A15B3" w:rsidP="000A15B3">
      <w:pPr>
        <w:spacing w:after="200" w:line="276" w:lineRule="auto"/>
        <w:contextualSpacing/>
        <w:rPr>
          <w:rFonts w:eastAsia="Times New Roman" w:cstheme="minorHAnsi"/>
          <w:lang w:val="en" w:eastAsia="en-GB"/>
        </w:rPr>
      </w:pPr>
    </w:p>
    <w:p w:rsidR="00583760" w:rsidRDefault="00583760" w:rsidP="00583760">
      <w:pPr>
        <w:numPr>
          <w:ilvl w:val="0"/>
          <w:numId w:val="27"/>
        </w:numPr>
        <w:spacing w:after="200" w:line="276" w:lineRule="auto"/>
        <w:contextualSpacing/>
        <w:rPr>
          <w:rFonts w:eastAsia="Times New Roman" w:cstheme="minorHAnsi"/>
          <w:lang w:val="en" w:eastAsia="en-GB"/>
        </w:rPr>
      </w:pPr>
      <w:r w:rsidRPr="005D7234">
        <w:rPr>
          <w:rFonts w:eastAsia="Times New Roman" w:cstheme="minorHAnsi"/>
          <w:lang w:val="en" w:eastAsia="en-GB"/>
        </w:rPr>
        <w:t xml:space="preserve">In </w:t>
      </w:r>
      <w:r w:rsidRPr="005D7234">
        <w:rPr>
          <w:rFonts w:eastAsia="Times New Roman" w:cstheme="minorHAnsi"/>
          <w:b/>
          <w:lang w:val="en" w:eastAsia="en-GB"/>
        </w:rPr>
        <w:t>biology</w:t>
      </w:r>
      <w:r w:rsidRPr="005D7234">
        <w:rPr>
          <w:rFonts w:eastAsia="Times New Roman" w:cstheme="minorHAnsi"/>
          <w:lang w:val="en" w:eastAsia="en-GB"/>
        </w:rPr>
        <w:t>, we want pupils to learn and master that the building blocks of life are cells. We want pupils to see how cells can build up to form tissues, organs and systems and then understand how all variety of living systems can interact with the world around us. We aim to build on concepts that offer low cognitive load during early parts of KS3 (</w:t>
      </w:r>
      <w:proofErr w:type="spellStart"/>
      <w:r w:rsidRPr="005D7234">
        <w:rPr>
          <w:rFonts w:eastAsia="Times New Roman" w:cstheme="minorHAnsi"/>
          <w:lang w:val="en" w:eastAsia="en-GB"/>
        </w:rPr>
        <w:t>eg</w:t>
      </w:r>
      <w:proofErr w:type="spellEnd"/>
      <w:r w:rsidRPr="005D7234">
        <w:rPr>
          <w:rFonts w:eastAsia="Times New Roman" w:cstheme="minorHAnsi"/>
          <w:lang w:val="en" w:eastAsia="en-GB"/>
        </w:rPr>
        <w:t xml:space="preserve"> Cells and Organs; Habitats and Ecosystems) so that in the following years, learners are ready for the challenge that further biological ideas may present i.e. Genes and evolution; Interdependence and the wonderful world of plant biology. </w:t>
      </w:r>
    </w:p>
    <w:p w:rsidR="000A15B3" w:rsidRPr="005D7234" w:rsidRDefault="000A15B3" w:rsidP="000A15B3">
      <w:pPr>
        <w:spacing w:after="200" w:line="276" w:lineRule="auto"/>
        <w:contextualSpacing/>
        <w:rPr>
          <w:rFonts w:eastAsia="Times New Roman" w:cstheme="minorHAnsi"/>
          <w:lang w:val="en" w:eastAsia="en-GB"/>
        </w:rPr>
      </w:pPr>
    </w:p>
    <w:p w:rsidR="00583760" w:rsidRPr="005D7234" w:rsidRDefault="00583760" w:rsidP="00583760">
      <w:pPr>
        <w:numPr>
          <w:ilvl w:val="0"/>
          <w:numId w:val="27"/>
        </w:numPr>
        <w:spacing w:after="200" w:line="276" w:lineRule="auto"/>
        <w:contextualSpacing/>
        <w:rPr>
          <w:rFonts w:eastAsia="Times New Roman" w:cstheme="minorHAnsi"/>
          <w:lang w:val="en" w:eastAsia="en-GB"/>
        </w:rPr>
      </w:pPr>
      <w:r w:rsidRPr="005D7234">
        <w:rPr>
          <w:rFonts w:eastAsia="Times New Roman" w:cstheme="minorHAnsi"/>
          <w:lang w:val="en" w:eastAsia="en-GB"/>
        </w:rPr>
        <w:t xml:space="preserve">To embed learning, we </w:t>
      </w:r>
      <w:proofErr w:type="spellStart"/>
      <w:r w:rsidRPr="005D7234">
        <w:rPr>
          <w:rFonts w:eastAsia="Times New Roman" w:cstheme="minorHAnsi"/>
          <w:lang w:val="en" w:eastAsia="en-GB"/>
        </w:rPr>
        <w:t>recognise</w:t>
      </w:r>
      <w:proofErr w:type="spellEnd"/>
      <w:r w:rsidRPr="005D7234">
        <w:rPr>
          <w:rFonts w:eastAsia="Times New Roman" w:cstheme="minorHAnsi"/>
          <w:lang w:val="en" w:eastAsia="en-GB"/>
        </w:rPr>
        <w:t xml:space="preserve"> the importance of biological terms and spoken language in pupils’ development across the whole biology curriculum and aim to build in recall of the numerous biological terms. We begin with simple tier two (and some tier 3) words in Y7 and then continually build on this with more frequent use of tier three words and terms during Y8 to 11. The knowledge </w:t>
      </w:r>
      <w:proofErr w:type="spellStart"/>
      <w:r w:rsidRPr="005D7234">
        <w:rPr>
          <w:rFonts w:eastAsia="Times New Roman" w:cstheme="minorHAnsi"/>
          <w:lang w:val="en" w:eastAsia="en-GB"/>
        </w:rPr>
        <w:t>organisers</w:t>
      </w:r>
      <w:proofErr w:type="spellEnd"/>
      <w:r w:rsidRPr="005D7234">
        <w:rPr>
          <w:rFonts w:eastAsia="Times New Roman" w:cstheme="minorHAnsi"/>
          <w:lang w:val="en" w:eastAsia="en-GB"/>
        </w:rPr>
        <w:t xml:space="preserve"> that we will use for each and every unit will highlight such words but the typical daily language used by teachers will also reflect our language intent from Y7 to Y11 so that the quality and variety of language that pupils hear and speak are key factors in developing their scientific vocabulary and articulating scientific.</w:t>
      </w:r>
    </w:p>
    <w:p w:rsidR="00583760" w:rsidRPr="005D7234" w:rsidRDefault="00583760" w:rsidP="00583760">
      <w:pPr>
        <w:pStyle w:val="ListParagraph"/>
        <w:rPr>
          <w:rFonts w:eastAsia="Times New Roman" w:cstheme="minorHAnsi"/>
          <w:lang w:val="en" w:eastAsia="en-GB"/>
        </w:rPr>
      </w:pPr>
    </w:p>
    <w:p w:rsidR="00583760" w:rsidRPr="005D7234" w:rsidRDefault="00583760" w:rsidP="00583760">
      <w:pPr>
        <w:numPr>
          <w:ilvl w:val="0"/>
          <w:numId w:val="27"/>
        </w:numPr>
        <w:spacing w:after="200" w:line="276" w:lineRule="auto"/>
        <w:contextualSpacing/>
        <w:rPr>
          <w:rFonts w:eastAsia="Times New Roman" w:cstheme="minorHAnsi"/>
          <w:lang w:val="en" w:eastAsia="en-GB"/>
        </w:rPr>
      </w:pPr>
      <w:r w:rsidRPr="005D7234">
        <w:rPr>
          <w:rFonts w:eastAsia="Times New Roman" w:cstheme="minorHAnsi"/>
          <w:lang w:val="en" w:eastAsia="en-GB"/>
        </w:rPr>
        <w:t xml:space="preserve">In </w:t>
      </w:r>
      <w:r w:rsidRPr="005D7234">
        <w:rPr>
          <w:rFonts w:eastAsia="Times New Roman" w:cstheme="minorHAnsi"/>
          <w:b/>
          <w:lang w:val="en" w:eastAsia="en-GB"/>
        </w:rPr>
        <w:t>chemistry</w:t>
      </w:r>
      <w:r w:rsidRPr="005D7234">
        <w:rPr>
          <w:rFonts w:eastAsia="Times New Roman" w:cstheme="minorHAnsi"/>
          <w:lang w:val="en" w:eastAsia="en-GB"/>
        </w:rPr>
        <w:t xml:space="preserve">, it is our aim to give pupils an appreciation of this fundamental science, and hence to develop an interest and understanding in the subject. It is our intention for pupils to gain an awareness of the role of the collaborative nature of Chemistry in the 21st century and its universal role in the development of new technologies and its potential to solve many of the worlds’ problems e.g. pollution, fuel crisis, feeding populations.  This inspiration will hopefully encourage more pupils to study Chemistry at a higher level. </w:t>
      </w:r>
    </w:p>
    <w:p w:rsidR="00583760" w:rsidRPr="005D7234" w:rsidRDefault="00583760" w:rsidP="00583760">
      <w:pPr>
        <w:numPr>
          <w:ilvl w:val="0"/>
          <w:numId w:val="27"/>
        </w:numPr>
        <w:spacing w:after="200" w:line="276" w:lineRule="auto"/>
        <w:contextualSpacing/>
        <w:rPr>
          <w:rFonts w:eastAsia="Times New Roman" w:cstheme="minorHAnsi"/>
          <w:lang w:val="en" w:eastAsia="en-GB"/>
        </w:rPr>
      </w:pPr>
      <w:r w:rsidRPr="005D7234">
        <w:rPr>
          <w:rFonts w:eastAsia="Times New Roman" w:cstheme="minorHAnsi"/>
          <w:lang w:val="en" w:eastAsia="en-GB"/>
        </w:rPr>
        <w:t xml:space="preserve">This will be achieved through carefully planned sequence of lessons and topics.  Key ideas and concepts are developed slowly as the course progresses, with fundamental concepts being constantly revisited and applied to unfamiliar situations. This ensures that revision is an ongoing process. Interwoven into the course are </w:t>
      </w:r>
      <w:proofErr w:type="spellStart"/>
      <w:r w:rsidRPr="005D7234">
        <w:rPr>
          <w:rFonts w:eastAsia="Times New Roman" w:cstheme="minorHAnsi"/>
          <w:lang w:val="en" w:eastAsia="en-GB"/>
        </w:rPr>
        <w:t>practicals</w:t>
      </w:r>
      <w:proofErr w:type="spellEnd"/>
      <w:r w:rsidRPr="005D7234">
        <w:rPr>
          <w:rFonts w:eastAsia="Times New Roman" w:cstheme="minorHAnsi"/>
          <w:lang w:val="en" w:eastAsia="en-GB"/>
        </w:rPr>
        <w:t xml:space="preserve"> in which pupils can explore scientific ideas for themselves.</w:t>
      </w:r>
    </w:p>
    <w:p w:rsidR="00583760" w:rsidRPr="005D7234" w:rsidRDefault="00583760" w:rsidP="00583760">
      <w:pPr>
        <w:spacing w:after="200" w:line="276" w:lineRule="auto"/>
        <w:contextualSpacing/>
        <w:rPr>
          <w:rFonts w:eastAsia="Times New Roman" w:cstheme="minorHAnsi"/>
          <w:lang w:val="en" w:eastAsia="en-GB"/>
        </w:rPr>
      </w:pPr>
    </w:p>
    <w:p w:rsidR="00A40A24" w:rsidRPr="005D7234" w:rsidRDefault="00583760" w:rsidP="00A40A24">
      <w:pPr>
        <w:pStyle w:val="ListParagraph"/>
        <w:numPr>
          <w:ilvl w:val="0"/>
          <w:numId w:val="27"/>
        </w:numPr>
        <w:spacing w:after="200" w:line="276" w:lineRule="auto"/>
        <w:rPr>
          <w:rFonts w:eastAsia="Times New Roman" w:cstheme="minorHAnsi"/>
          <w:lang w:val="en" w:eastAsia="en-GB"/>
        </w:rPr>
      </w:pPr>
      <w:r w:rsidRPr="005D7234">
        <w:rPr>
          <w:rFonts w:eastAsia="Times New Roman" w:cstheme="minorHAnsi"/>
          <w:lang w:val="en" w:eastAsia="en-GB"/>
        </w:rPr>
        <w:t xml:space="preserve">In </w:t>
      </w:r>
      <w:r w:rsidRPr="005D7234">
        <w:rPr>
          <w:rFonts w:eastAsia="Times New Roman" w:cstheme="minorHAnsi"/>
          <w:b/>
          <w:lang w:val="en" w:eastAsia="en-GB"/>
        </w:rPr>
        <w:t>physics,</w:t>
      </w:r>
      <w:r w:rsidRPr="005D7234">
        <w:rPr>
          <w:rFonts w:eastAsia="Times New Roman" w:cstheme="minorHAnsi"/>
          <w:lang w:val="en" w:eastAsia="en-GB"/>
        </w:rPr>
        <w:t xml:space="preserve"> </w:t>
      </w:r>
      <w:r w:rsidR="00A40A24" w:rsidRPr="005D7234">
        <w:rPr>
          <w:rFonts w:eastAsia="Times New Roman" w:cstheme="minorHAnsi"/>
          <w:lang w:val="en" w:eastAsia="en-GB"/>
        </w:rPr>
        <w:t xml:space="preserve">we aim to produce scientifically literate citizens, who will be able to engage with their environment on a practical and theoretical level. Physics, the most fundamental science, with its models, analytical approach, and mathematical demand, is the ideal vehicle for this. Importantly, we nurture and develop our students’ love of the subject, and of asking the difficult questions. </w:t>
      </w:r>
    </w:p>
    <w:p w:rsidR="00A40A24" w:rsidRPr="005D7234" w:rsidRDefault="00A40A24" w:rsidP="00A40A24">
      <w:pPr>
        <w:pStyle w:val="ListParagraph"/>
        <w:numPr>
          <w:ilvl w:val="0"/>
          <w:numId w:val="27"/>
        </w:numPr>
        <w:spacing w:after="200" w:line="276" w:lineRule="auto"/>
        <w:rPr>
          <w:rFonts w:eastAsia="Times New Roman" w:cstheme="minorHAnsi"/>
          <w:lang w:val="en" w:eastAsia="en-GB"/>
        </w:rPr>
      </w:pPr>
      <w:r w:rsidRPr="005D7234">
        <w:rPr>
          <w:rFonts w:eastAsia="Times New Roman" w:cstheme="minorHAnsi"/>
          <w:lang w:val="en" w:eastAsia="en-GB"/>
        </w:rPr>
        <w:t xml:space="preserve">We achieve this via a carefully planned route through the subject, beginning with basic concepts around energy, and force, for example; but </w:t>
      </w:r>
      <w:proofErr w:type="gramStart"/>
      <w:r w:rsidRPr="005D7234">
        <w:rPr>
          <w:rFonts w:eastAsia="Times New Roman" w:cstheme="minorHAnsi"/>
          <w:lang w:val="en" w:eastAsia="en-GB"/>
        </w:rPr>
        <w:t>also</w:t>
      </w:r>
      <w:proofErr w:type="gramEnd"/>
      <w:r w:rsidRPr="005D7234">
        <w:rPr>
          <w:rFonts w:eastAsia="Times New Roman" w:cstheme="minorHAnsi"/>
          <w:lang w:val="en" w:eastAsia="en-GB"/>
        </w:rPr>
        <w:t xml:space="preserve"> with content that inspires and engages – space science, for example. Lower down the school the fundamental skills are cemented, but so is an appreciation of the wonder of science. At key stage 4, we teach to a specification but continue to take opportunities to display the wonder of our subject. Lessons are well structured as part of a series of learning events, using evidence-based models of teaching. For </w:t>
      </w:r>
      <w:proofErr w:type="gramStart"/>
      <w:r w:rsidRPr="005D7234">
        <w:rPr>
          <w:rFonts w:eastAsia="Times New Roman" w:cstheme="minorHAnsi"/>
          <w:lang w:val="en" w:eastAsia="en-GB"/>
        </w:rPr>
        <w:t>example</w:t>
      </w:r>
      <w:proofErr w:type="gramEnd"/>
      <w:r w:rsidRPr="005D7234">
        <w:rPr>
          <w:rFonts w:eastAsia="Times New Roman" w:cstheme="minorHAnsi"/>
          <w:lang w:val="en" w:eastAsia="en-GB"/>
        </w:rPr>
        <w:t xml:space="preserve"> we consider cognitive load, the development of schema, and provision of opportunities to build skills, in order to lead to the best possible examination outcomes for our students.</w:t>
      </w:r>
    </w:p>
    <w:p w:rsidR="00A40A24" w:rsidRPr="005D7234" w:rsidRDefault="00A40A24" w:rsidP="00A40A24">
      <w:pPr>
        <w:spacing w:after="200" w:line="276" w:lineRule="auto"/>
        <w:rPr>
          <w:rFonts w:eastAsia="Times New Roman" w:cstheme="minorHAnsi"/>
          <w:lang w:val="en" w:eastAsia="en-GB"/>
        </w:rPr>
      </w:pPr>
    </w:p>
    <w:p w:rsidR="00583760" w:rsidRPr="005D7234" w:rsidRDefault="00A40A24" w:rsidP="00A40A24">
      <w:pPr>
        <w:pStyle w:val="ListParagraph"/>
        <w:numPr>
          <w:ilvl w:val="0"/>
          <w:numId w:val="27"/>
        </w:numPr>
        <w:spacing w:after="200" w:line="276" w:lineRule="auto"/>
        <w:rPr>
          <w:rFonts w:eastAsia="Times New Roman" w:cstheme="minorHAnsi"/>
          <w:lang w:val="en" w:eastAsia="en-GB"/>
        </w:rPr>
      </w:pPr>
      <w:r w:rsidRPr="005D7234">
        <w:rPr>
          <w:rFonts w:eastAsia="Times New Roman" w:cstheme="minorHAnsi"/>
          <w:lang w:val="en" w:eastAsia="en-GB"/>
        </w:rPr>
        <w:t>In science</w:t>
      </w:r>
      <w:r w:rsidR="00E82A15" w:rsidRPr="005D7234">
        <w:rPr>
          <w:rFonts w:eastAsia="Times New Roman" w:cstheme="minorHAnsi"/>
          <w:lang w:val="en" w:eastAsia="en-GB"/>
        </w:rPr>
        <w:t xml:space="preserve">, we </w:t>
      </w:r>
      <w:proofErr w:type="spellStart"/>
      <w:r w:rsidR="00E82A15" w:rsidRPr="005D7234">
        <w:rPr>
          <w:rFonts w:eastAsia="Times New Roman" w:cstheme="minorHAnsi"/>
          <w:lang w:val="en" w:eastAsia="en-GB"/>
        </w:rPr>
        <w:t>recognise</w:t>
      </w:r>
      <w:proofErr w:type="spellEnd"/>
      <w:r w:rsidR="00E82A15" w:rsidRPr="005D7234">
        <w:rPr>
          <w:rFonts w:eastAsia="Times New Roman" w:cstheme="minorHAnsi"/>
          <w:lang w:val="en" w:eastAsia="en-GB"/>
        </w:rPr>
        <w:t xml:space="preserve"> that</w:t>
      </w:r>
      <w:r w:rsidRPr="005D7234">
        <w:rPr>
          <w:rFonts w:eastAsia="Times New Roman" w:cstheme="minorHAnsi"/>
          <w:lang w:val="en" w:eastAsia="en-GB"/>
        </w:rPr>
        <w:t xml:space="preserve"> biology, chemistry and physics can be fundamentally </w:t>
      </w:r>
      <w:r w:rsidR="00E82A15" w:rsidRPr="005D7234">
        <w:rPr>
          <w:rFonts w:eastAsia="Times New Roman" w:cstheme="minorHAnsi"/>
          <w:lang w:val="en" w:eastAsia="en-GB"/>
        </w:rPr>
        <w:t xml:space="preserve">and conceptually different, </w:t>
      </w:r>
      <w:r w:rsidRPr="005D7234">
        <w:rPr>
          <w:rFonts w:eastAsia="Times New Roman" w:cstheme="minorHAnsi"/>
          <w:lang w:val="en" w:eastAsia="en-GB"/>
        </w:rPr>
        <w:t>but appreciate that many concepts can overlap in each of the science subject domains. So</w:t>
      </w:r>
      <w:r w:rsidR="005B75E0" w:rsidRPr="005D7234">
        <w:rPr>
          <w:rFonts w:eastAsia="Times New Roman" w:cstheme="minorHAnsi"/>
          <w:lang w:val="en" w:eastAsia="en-GB"/>
        </w:rPr>
        <w:t>,</w:t>
      </w:r>
      <w:r w:rsidRPr="005D7234">
        <w:rPr>
          <w:rFonts w:eastAsia="Times New Roman" w:cstheme="minorHAnsi"/>
          <w:lang w:val="en" w:eastAsia="en-GB"/>
        </w:rPr>
        <w:t xml:space="preserve"> as an overarching approach for the delivery of our curriculum</w:t>
      </w:r>
      <w:r w:rsidR="00E82A15" w:rsidRPr="005D7234">
        <w:rPr>
          <w:rFonts w:eastAsia="Times New Roman" w:cstheme="minorHAnsi"/>
          <w:lang w:val="en" w:eastAsia="en-GB"/>
        </w:rPr>
        <w:t>,</w:t>
      </w:r>
      <w:r w:rsidRPr="005D7234">
        <w:rPr>
          <w:rFonts w:eastAsia="Times New Roman" w:cstheme="minorHAnsi"/>
          <w:lang w:val="en" w:eastAsia="en-GB"/>
        </w:rPr>
        <w:t xml:space="preserve"> w</w:t>
      </w:r>
      <w:r w:rsidR="00583760" w:rsidRPr="005D7234">
        <w:rPr>
          <w:rFonts w:eastAsia="Times New Roman" w:cstheme="minorHAnsi"/>
          <w:lang w:val="en" w:eastAsia="en-GB"/>
        </w:rPr>
        <w:t xml:space="preserve">e seek to implement great science lessons </w:t>
      </w:r>
      <w:r w:rsidRPr="005D7234">
        <w:rPr>
          <w:rFonts w:eastAsia="Times New Roman" w:cstheme="minorHAnsi"/>
          <w:lang w:val="en" w:eastAsia="en-GB"/>
        </w:rPr>
        <w:t xml:space="preserve">that are </w:t>
      </w:r>
      <w:r w:rsidR="00583760" w:rsidRPr="005D7234">
        <w:rPr>
          <w:rFonts w:eastAsia="Times New Roman" w:cstheme="minorHAnsi"/>
          <w:lang w:val="en" w:eastAsia="en-GB"/>
        </w:rPr>
        <w:t>informed by:</w:t>
      </w:r>
    </w:p>
    <w:p w:rsidR="00A40A24" w:rsidRPr="005D7234" w:rsidRDefault="00A40A24" w:rsidP="00A40A24">
      <w:pPr>
        <w:spacing w:after="200" w:line="276" w:lineRule="auto"/>
        <w:contextualSpacing/>
        <w:rPr>
          <w:rFonts w:eastAsia="Times New Roman" w:cstheme="minorHAnsi"/>
          <w:lang w:val="en" w:eastAsia="en-GB"/>
        </w:rPr>
      </w:pP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1. cognitive science (</w:t>
      </w:r>
      <w:proofErr w:type="spellStart"/>
      <w:r w:rsidRPr="005D7234">
        <w:rPr>
          <w:rFonts w:eastAsia="Times New Roman" w:cstheme="minorHAnsi"/>
          <w:lang w:val="en" w:eastAsia="en-GB"/>
        </w:rPr>
        <w:t>eg</w:t>
      </w:r>
      <w:proofErr w:type="spellEnd"/>
      <w:r w:rsidRPr="005D7234">
        <w:rPr>
          <w:rFonts w:eastAsia="Times New Roman" w:cstheme="minorHAnsi"/>
          <w:lang w:val="en" w:eastAsia="en-GB"/>
        </w:rPr>
        <w:t xml:space="preserve"> retrieval, spaced practice, dual coding) </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 xml:space="preserve">2. great explanations; </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 xml:space="preserve">3. core knowledge and engaging illustrations; </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 xml:space="preserve">4. Shed Loads </w:t>
      </w:r>
      <w:proofErr w:type="gramStart"/>
      <w:r w:rsidRPr="005D7234">
        <w:rPr>
          <w:rFonts w:eastAsia="Times New Roman" w:cstheme="minorHAnsi"/>
          <w:lang w:val="en" w:eastAsia="en-GB"/>
        </w:rPr>
        <w:t>Of</w:t>
      </w:r>
      <w:proofErr w:type="gramEnd"/>
      <w:r w:rsidRPr="005D7234">
        <w:rPr>
          <w:rFonts w:eastAsia="Times New Roman" w:cstheme="minorHAnsi"/>
          <w:lang w:val="en" w:eastAsia="en-GB"/>
        </w:rPr>
        <w:t xml:space="preserve"> Practice (SLOP); </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 xml:space="preserve">5. frequent low-stakes tests and supportive resources; </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6. sharp and purposeful cumulative summative and formative assessment to enhance ‘learning’.</w:t>
      </w:r>
    </w:p>
    <w:p w:rsidR="00583760" w:rsidRPr="005D7234" w:rsidRDefault="00583760" w:rsidP="00583760">
      <w:pPr>
        <w:rPr>
          <w:rFonts w:eastAsia="Times New Roman" w:cstheme="minorHAnsi"/>
          <w:lang w:val="en" w:eastAsia="en-GB"/>
        </w:rPr>
      </w:pPr>
      <w:r w:rsidRPr="005D7234">
        <w:rPr>
          <w:rFonts w:eastAsia="Times New Roman" w:cstheme="minorHAnsi"/>
          <w:lang w:val="en" w:eastAsia="en-GB"/>
        </w:rPr>
        <w:t xml:space="preserve">7. commitment to a variety of STEM </w:t>
      </w:r>
      <w:proofErr w:type="spellStart"/>
      <w:r w:rsidRPr="005D7234">
        <w:rPr>
          <w:rFonts w:eastAsia="Times New Roman" w:cstheme="minorHAnsi"/>
          <w:lang w:val="en" w:eastAsia="en-GB"/>
        </w:rPr>
        <w:t>programmes</w:t>
      </w:r>
      <w:proofErr w:type="spellEnd"/>
      <w:r w:rsidRPr="005D7234">
        <w:rPr>
          <w:rFonts w:eastAsia="Times New Roman" w:cstheme="minorHAnsi"/>
          <w:lang w:val="en" w:eastAsia="en-GB"/>
        </w:rPr>
        <w:t xml:space="preserve"> and awards </w:t>
      </w:r>
    </w:p>
    <w:p w:rsidR="001B0D38" w:rsidRPr="005D7234" w:rsidRDefault="001B0D38" w:rsidP="001B0D38">
      <w:pPr>
        <w:rPr>
          <w:rFonts w:cstheme="minorHAnsi"/>
        </w:rPr>
      </w:pPr>
      <w:r w:rsidRPr="005D7234">
        <w:rPr>
          <w:rFonts w:cstheme="minorHAnsi"/>
          <w:noProof/>
          <w:lang w:eastAsia="en-GB"/>
        </w:rPr>
        <w:drawing>
          <wp:anchor distT="0" distB="0" distL="114300" distR="114300" simplePos="0" relativeHeight="251659264" behindDoc="1" locked="0" layoutInCell="1" allowOverlap="1" wp14:anchorId="7C773B55" wp14:editId="052C13BC">
            <wp:simplePos x="0" y="0"/>
            <wp:positionH relativeFrom="page">
              <wp:align>right</wp:align>
            </wp:positionH>
            <wp:positionV relativeFrom="paragraph">
              <wp:posOffset>333375</wp:posOffset>
            </wp:positionV>
            <wp:extent cx="7557770" cy="3783965"/>
            <wp:effectExtent l="0" t="0" r="0" b="26035"/>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5D7234">
        <w:rPr>
          <w:rFonts w:cstheme="minorHAnsi"/>
        </w:rPr>
        <w:t xml:space="preserve">To enable this to happen our curriculum in planned around the following </w:t>
      </w:r>
      <w:r w:rsidRPr="005D7234">
        <w:rPr>
          <w:rFonts w:cstheme="minorHAnsi"/>
          <w:b/>
        </w:rPr>
        <w:t>6 dimensions</w:t>
      </w:r>
      <w:r w:rsidRPr="005D7234">
        <w:rPr>
          <w:rFonts w:cstheme="minorHAnsi"/>
        </w:rPr>
        <w:t>:</w:t>
      </w:r>
    </w:p>
    <w:p w:rsidR="00583760" w:rsidRPr="005B75E0" w:rsidRDefault="00583760" w:rsidP="001B0D38">
      <w:pPr>
        <w:rPr>
          <w:rFonts w:cstheme="minorHAnsi"/>
          <w:sz w:val="24"/>
          <w:szCs w:val="24"/>
        </w:rPr>
      </w:pPr>
    </w:p>
    <w:p w:rsidR="00DB56C2" w:rsidRPr="005D7234" w:rsidRDefault="00DB56C2" w:rsidP="00DB56C2">
      <w:pPr>
        <w:numPr>
          <w:ilvl w:val="0"/>
          <w:numId w:val="16"/>
        </w:numPr>
        <w:spacing w:after="200" w:line="276" w:lineRule="auto"/>
        <w:contextualSpacing/>
        <w:jc w:val="both"/>
        <w:rPr>
          <w:rFonts w:cstheme="minorHAnsi"/>
          <w:sz w:val="20"/>
          <w:szCs w:val="20"/>
        </w:rPr>
      </w:pPr>
      <w:r w:rsidRPr="005D7234">
        <w:rPr>
          <w:rFonts w:cstheme="minorHAnsi"/>
          <w:sz w:val="20"/>
          <w:szCs w:val="20"/>
        </w:rPr>
        <w:t xml:space="preserve">Clarity around the sequence of learning over 5 years. </w:t>
      </w:r>
    </w:p>
    <w:p w:rsidR="008F76EB" w:rsidRPr="005D7234" w:rsidRDefault="00DB56C2" w:rsidP="008F76EB">
      <w:pPr>
        <w:numPr>
          <w:ilvl w:val="0"/>
          <w:numId w:val="16"/>
        </w:numPr>
        <w:spacing w:after="200" w:line="276" w:lineRule="auto"/>
        <w:contextualSpacing/>
        <w:jc w:val="both"/>
        <w:rPr>
          <w:rFonts w:cstheme="minorHAnsi"/>
          <w:sz w:val="20"/>
          <w:szCs w:val="20"/>
        </w:rPr>
      </w:pPr>
      <w:r w:rsidRPr="005D7234">
        <w:rPr>
          <w:rFonts w:cstheme="minorHAnsi"/>
          <w:sz w:val="20"/>
          <w:szCs w:val="20"/>
        </w:rPr>
        <w:t>Clarity around the</w:t>
      </w:r>
      <w:r w:rsidR="008F76EB" w:rsidRPr="005D7234">
        <w:rPr>
          <w:rFonts w:cstheme="minorHAnsi"/>
          <w:sz w:val="20"/>
          <w:szCs w:val="20"/>
        </w:rPr>
        <w:t xml:space="preserve"> knowledge</w:t>
      </w:r>
      <w:r w:rsidRPr="005D7234">
        <w:rPr>
          <w:rFonts w:cstheme="minorHAnsi"/>
          <w:sz w:val="20"/>
          <w:szCs w:val="20"/>
        </w:rPr>
        <w:t xml:space="preserve"> and the application of knowledge</w:t>
      </w:r>
      <w:r w:rsidR="008F76EB" w:rsidRPr="005D7234">
        <w:rPr>
          <w:rFonts w:cstheme="minorHAnsi"/>
          <w:sz w:val="20"/>
          <w:szCs w:val="20"/>
        </w:rPr>
        <w:t xml:space="preserve">. </w:t>
      </w:r>
    </w:p>
    <w:p w:rsidR="008F76EB" w:rsidRPr="005D7234" w:rsidRDefault="00DB56C2" w:rsidP="008F76EB">
      <w:pPr>
        <w:numPr>
          <w:ilvl w:val="0"/>
          <w:numId w:val="16"/>
        </w:numPr>
        <w:spacing w:after="200" w:line="276" w:lineRule="auto"/>
        <w:contextualSpacing/>
        <w:jc w:val="both"/>
        <w:rPr>
          <w:rFonts w:cstheme="minorHAnsi"/>
          <w:sz w:val="20"/>
          <w:szCs w:val="20"/>
        </w:rPr>
      </w:pPr>
      <w:r w:rsidRPr="005D7234">
        <w:rPr>
          <w:rFonts w:cstheme="minorHAnsi"/>
          <w:sz w:val="20"/>
          <w:szCs w:val="20"/>
        </w:rPr>
        <w:t>Vocab and literacy</w:t>
      </w:r>
    </w:p>
    <w:p w:rsidR="0048755C" w:rsidRPr="005D7234" w:rsidRDefault="008F76EB" w:rsidP="00145A67">
      <w:pPr>
        <w:numPr>
          <w:ilvl w:val="0"/>
          <w:numId w:val="16"/>
        </w:numPr>
        <w:spacing w:after="200" w:line="276" w:lineRule="auto"/>
        <w:contextualSpacing/>
        <w:jc w:val="both"/>
        <w:rPr>
          <w:rFonts w:cstheme="minorHAnsi"/>
          <w:sz w:val="20"/>
          <w:szCs w:val="20"/>
        </w:rPr>
      </w:pPr>
      <w:r w:rsidRPr="005D7234">
        <w:rPr>
          <w:rFonts w:cstheme="minorHAnsi"/>
          <w:sz w:val="20"/>
          <w:szCs w:val="20"/>
        </w:rPr>
        <w:t xml:space="preserve">Subject content which is </w:t>
      </w:r>
      <w:r w:rsidR="008679A5" w:rsidRPr="005D7234">
        <w:rPr>
          <w:rFonts w:cstheme="minorHAnsi"/>
          <w:sz w:val="20"/>
          <w:szCs w:val="20"/>
          <w:lang w:val="en-US"/>
        </w:rPr>
        <w:t>Aspiring, Inspiring and ‘R</w:t>
      </w:r>
      <w:r w:rsidR="001B35C4" w:rsidRPr="005D7234">
        <w:rPr>
          <w:rFonts w:cstheme="minorHAnsi"/>
          <w:sz w:val="20"/>
          <w:szCs w:val="20"/>
          <w:lang w:val="en-US"/>
        </w:rPr>
        <w:t>eal</w:t>
      </w:r>
      <w:r w:rsidR="008679A5" w:rsidRPr="005D7234">
        <w:rPr>
          <w:rFonts w:cstheme="minorHAnsi"/>
          <w:sz w:val="20"/>
          <w:szCs w:val="20"/>
          <w:lang w:val="en-US"/>
        </w:rPr>
        <w:t xml:space="preserve"> World Learning</w:t>
      </w:r>
      <w:r w:rsidR="001B35C4" w:rsidRPr="005D7234">
        <w:rPr>
          <w:rFonts w:cstheme="minorHAnsi"/>
          <w:sz w:val="20"/>
          <w:szCs w:val="20"/>
          <w:lang w:val="en-US"/>
        </w:rPr>
        <w:t>'</w:t>
      </w:r>
    </w:p>
    <w:p w:rsidR="008F76EB" w:rsidRPr="005D7234" w:rsidRDefault="00DB56C2" w:rsidP="00145A67">
      <w:pPr>
        <w:numPr>
          <w:ilvl w:val="0"/>
          <w:numId w:val="16"/>
        </w:numPr>
        <w:spacing w:after="200" w:line="276" w:lineRule="auto"/>
        <w:contextualSpacing/>
        <w:jc w:val="both"/>
        <w:rPr>
          <w:rFonts w:cstheme="minorHAnsi"/>
          <w:sz w:val="20"/>
          <w:szCs w:val="20"/>
        </w:rPr>
      </w:pPr>
      <w:r w:rsidRPr="005D7234">
        <w:rPr>
          <w:rFonts w:cstheme="minorHAnsi"/>
          <w:sz w:val="20"/>
          <w:szCs w:val="20"/>
        </w:rPr>
        <w:t>M</w:t>
      </w:r>
      <w:r w:rsidR="008679A5" w:rsidRPr="005D7234">
        <w:rPr>
          <w:rFonts w:cstheme="minorHAnsi"/>
          <w:sz w:val="20"/>
          <w:szCs w:val="20"/>
        </w:rPr>
        <w:t>emory and C</w:t>
      </w:r>
      <w:r w:rsidR="008F76EB" w:rsidRPr="005D7234">
        <w:rPr>
          <w:rFonts w:cstheme="minorHAnsi"/>
          <w:sz w:val="20"/>
          <w:szCs w:val="20"/>
        </w:rPr>
        <w:t xml:space="preserve">ognition. </w:t>
      </w:r>
    </w:p>
    <w:p w:rsidR="00DB56C2" w:rsidRPr="005D7234" w:rsidRDefault="008F76EB" w:rsidP="00DB56C2">
      <w:pPr>
        <w:numPr>
          <w:ilvl w:val="0"/>
          <w:numId w:val="16"/>
        </w:numPr>
        <w:spacing w:after="200" w:line="276" w:lineRule="auto"/>
        <w:contextualSpacing/>
        <w:jc w:val="both"/>
        <w:rPr>
          <w:rFonts w:cstheme="minorHAnsi"/>
          <w:sz w:val="20"/>
          <w:szCs w:val="20"/>
        </w:rPr>
      </w:pPr>
      <w:r w:rsidRPr="005D7234">
        <w:rPr>
          <w:rFonts w:cstheme="minorHAnsi"/>
          <w:sz w:val="20"/>
          <w:szCs w:val="20"/>
        </w:rPr>
        <w:t>Assessment</w:t>
      </w:r>
      <w:r w:rsidR="00DB56C2" w:rsidRPr="005D7234">
        <w:rPr>
          <w:rFonts w:cstheme="minorHAnsi"/>
          <w:sz w:val="20"/>
          <w:szCs w:val="20"/>
        </w:rPr>
        <w:t>. Clarity around the end points and the assessment of what students know and can do.</w:t>
      </w:r>
    </w:p>
    <w:p w:rsidR="008F76EB" w:rsidRPr="005D7234" w:rsidRDefault="00DB56C2" w:rsidP="00DB56C2">
      <w:pPr>
        <w:spacing w:after="200" w:line="276" w:lineRule="auto"/>
        <w:ind w:left="360"/>
        <w:contextualSpacing/>
        <w:jc w:val="both"/>
        <w:rPr>
          <w:rFonts w:cstheme="minorHAnsi"/>
          <w:sz w:val="20"/>
          <w:szCs w:val="20"/>
        </w:rPr>
      </w:pPr>
      <w:r w:rsidRPr="005D7234">
        <w:rPr>
          <w:rFonts w:cstheme="minorHAnsi"/>
          <w:sz w:val="20"/>
          <w:szCs w:val="20"/>
        </w:rPr>
        <w:t xml:space="preserve"> </w:t>
      </w:r>
    </w:p>
    <w:p w:rsidR="001B35C4" w:rsidRPr="005D7234" w:rsidRDefault="001B35C4" w:rsidP="008F76EB">
      <w:pPr>
        <w:jc w:val="both"/>
        <w:rPr>
          <w:rFonts w:cstheme="minorHAnsi"/>
          <w:b/>
          <w:sz w:val="20"/>
          <w:szCs w:val="20"/>
          <w:u w:val="single"/>
        </w:rPr>
      </w:pPr>
    </w:p>
    <w:p w:rsidR="008F76EB" w:rsidRPr="005D7234" w:rsidRDefault="008F76EB" w:rsidP="008F76EB">
      <w:pPr>
        <w:jc w:val="both"/>
        <w:rPr>
          <w:rFonts w:cstheme="minorHAnsi"/>
          <w:b/>
          <w:sz w:val="20"/>
          <w:szCs w:val="20"/>
          <w:u w:val="single"/>
        </w:rPr>
      </w:pPr>
      <w:r w:rsidRPr="005D7234">
        <w:rPr>
          <w:rFonts w:cstheme="minorHAnsi"/>
          <w:b/>
          <w:sz w:val="20"/>
          <w:szCs w:val="20"/>
          <w:u w:val="single"/>
        </w:rPr>
        <w:t xml:space="preserve">Six Dimensions of the </w:t>
      </w:r>
      <w:r w:rsidR="00DB56C2" w:rsidRPr="005D7234">
        <w:rPr>
          <w:rFonts w:cstheme="minorHAnsi"/>
          <w:b/>
          <w:sz w:val="20"/>
          <w:szCs w:val="20"/>
          <w:u w:val="single"/>
        </w:rPr>
        <w:t>BWH</w:t>
      </w:r>
      <w:r w:rsidRPr="005D7234">
        <w:rPr>
          <w:rFonts w:cstheme="minorHAnsi"/>
          <w:b/>
          <w:sz w:val="20"/>
          <w:szCs w:val="20"/>
          <w:u w:val="single"/>
        </w:rPr>
        <w:t xml:space="preserve"> Curriculum</w:t>
      </w:r>
    </w:p>
    <w:p w:rsidR="0072790A" w:rsidRPr="005D7234" w:rsidRDefault="00687C2A" w:rsidP="0072790A">
      <w:pPr>
        <w:numPr>
          <w:ilvl w:val="0"/>
          <w:numId w:val="17"/>
        </w:numPr>
        <w:spacing w:after="200" w:line="276" w:lineRule="auto"/>
        <w:contextualSpacing/>
        <w:jc w:val="both"/>
        <w:rPr>
          <w:rFonts w:cstheme="minorHAnsi"/>
          <w:b/>
          <w:sz w:val="20"/>
          <w:szCs w:val="20"/>
          <w:u w:val="single"/>
        </w:rPr>
      </w:pPr>
      <w:r w:rsidRPr="005D7234">
        <w:rPr>
          <w:rFonts w:cstheme="minorHAnsi"/>
          <w:b/>
          <w:sz w:val="20"/>
          <w:szCs w:val="20"/>
          <w:u w:val="single"/>
        </w:rPr>
        <w:t>Clarity around the sequence of learning over 5 years</w:t>
      </w:r>
    </w:p>
    <w:p w:rsidR="00687C2A" w:rsidRPr="005D7234" w:rsidRDefault="0072790A" w:rsidP="0072790A">
      <w:pPr>
        <w:spacing w:after="200" w:line="276" w:lineRule="auto"/>
        <w:contextualSpacing/>
        <w:jc w:val="both"/>
        <w:rPr>
          <w:rFonts w:cstheme="minorHAnsi"/>
          <w:b/>
          <w:sz w:val="20"/>
          <w:szCs w:val="20"/>
        </w:rPr>
      </w:pPr>
      <w:r w:rsidRPr="005D7234">
        <w:rPr>
          <w:rFonts w:cstheme="minorHAnsi"/>
          <w:b/>
          <w:sz w:val="20"/>
          <w:szCs w:val="20"/>
        </w:rPr>
        <w:t>K</w:t>
      </w:r>
      <w:r w:rsidR="00687C2A" w:rsidRPr="005D7234">
        <w:rPr>
          <w:rFonts w:cstheme="minorHAnsi"/>
          <w:b/>
          <w:sz w:val="20"/>
          <w:szCs w:val="20"/>
        </w:rPr>
        <w:t xml:space="preserve">nowing and understanding more at each stage of the curriculum. </w:t>
      </w:r>
    </w:p>
    <w:p w:rsidR="00A656AF" w:rsidRPr="005D7234" w:rsidRDefault="00A656AF" w:rsidP="0072790A">
      <w:pPr>
        <w:spacing w:after="200" w:line="276" w:lineRule="auto"/>
        <w:contextualSpacing/>
        <w:jc w:val="both"/>
        <w:rPr>
          <w:rFonts w:cstheme="minorHAnsi"/>
          <w:b/>
          <w:sz w:val="20"/>
          <w:szCs w:val="20"/>
          <w:u w:val="single"/>
        </w:rPr>
      </w:pPr>
    </w:p>
    <w:p w:rsidR="00AB3073" w:rsidRPr="005D7234" w:rsidRDefault="003C63E6" w:rsidP="00AB3073">
      <w:pPr>
        <w:contextualSpacing/>
        <w:jc w:val="both"/>
        <w:rPr>
          <w:rFonts w:cstheme="minorHAnsi"/>
          <w:sz w:val="20"/>
          <w:szCs w:val="20"/>
        </w:rPr>
      </w:pPr>
      <w:r w:rsidRPr="005D7234">
        <w:rPr>
          <w:rFonts w:cstheme="minorHAnsi"/>
          <w:sz w:val="20"/>
          <w:szCs w:val="20"/>
        </w:rPr>
        <w:t>In s</w:t>
      </w:r>
      <w:r w:rsidR="00AB3073" w:rsidRPr="005D7234">
        <w:rPr>
          <w:rFonts w:cstheme="minorHAnsi"/>
          <w:sz w:val="20"/>
          <w:szCs w:val="20"/>
        </w:rPr>
        <w:t>cience, topics taught are part of a progressive model</w:t>
      </w:r>
      <w:r w:rsidR="00A656AF" w:rsidRPr="005D7234">
        <w:rPr>
          <w:rFonts w:cstheme="minorHAnsi"/>
          <w:sz w:val="20"/>
          <w:szCs w:val="20"/>
        </w:rPr>
        <w:t xml:space="preserve"> of sequencing</w:t>
      </w:r>
      <w:r w:rsidRPr="005D7234">
        <w:rPr>
          <w:rFonts w:cstheme="minorHAnsi"/>
          <w:sz w:val="20"/>
          <w:szCs w:val="20"/>
        </w:rPr>
        <w:t xml:space="preserve"> across key stages. Lessons taught,</w:t>
      </w:r>
      <w:r w:rsidR="00AB3073" w:rsidRPr="005D7234">
        <w:rPr>
          <w:rFonts w:cstheme="minorHAnsi"/>
          <w:sz w:val="20"/>
          <w:szCs w:val="20"/>
        </w:rPr>
        <w:t xml:space="preserve"> build</w:t>
      </w:r>
      <w:r w:rsidRPr="005D7234">
        <w:rPr>
          <w:rFonts w:cstheme="minorHAnsi"/>
          <w:sz w:val="20"/>
          <w:szCs w:val="20"/>
        </w:rPr>
        <w:t xml:space="preserve"> </w:t>
      </w:r>
      <w:r w:rsidR="00A656AF" w:rsidRPr="005D7234">
        <w:rPr>
          <w:rFonts w:cstheme="minorHAnsi"/>
          <w:sz w:val="20"/>
          <w:szCs w:val="20"/>
        </w:rPr>
        <w:t>on fundam</w:t>
      </w:r>
      <w:r w:rsidR="0088057A" w:rsidRPr="005D7234">
        <w:rPr>
          <w:rFonts w:cstheme="minorHAnsi"/>
          <w:sz w:val="20"/>
          <w:szCs w:val="20"/>
        </w:rPr>
        <w:t xml:space="preserve">ental science content early in KS3 to the more challenging concepts and schema delivered at KS4. We are continually reviewing our schema so that the fundamental basics in biology </w:t>
      </w:r>
      <w:proofErr w:type="gramStart"/>
      <w:r w:rsidR="0088057A" w:rsidRPr="005D7234">
        <w:rPr>
          <w:rFonts w:cstheme="minorHAnsi"/>
          <w:sz w:val="20"/>
          <w:szCs w:val="20"/>
        </w:rPr>
        <w:t>( cells</w:t>
      </w:r>
      <w:proofErr w:type="gramEnd"/>
      <w:r w:rsidR="0088057A" w:rsidRPr="005D7234">
        <w:rPr>
          <w:rFonts w:cstheme="minorHAnsi"/>
          <w:sz w:val="20"/>
          <w:szCs w:val="20"/>
        </w:rPr>
        <w:t xml:space="preserve"> and their components), chemistry ( atoms and particles) and physics ( energy and forces) are taught with clarity and purpose, providing the learning needed before further and more challenging science concepts are taught.</w:t>
      </w:r>
      <w:r w:rsidR="00116110" w:rsidRPr="005D7234">
        <w:rPr>
          <w:rFonts w:cstheme="minorHAnsi"/>
          <w:sz w:val="20"/>
          <w:szCs w:val="20"/>
        </w:rPr>
        <w:t xml:space="preserve"> We have considered the cognitive load that applies to the science concepts we choose to deliver</w:t>
      </w:r>
      <w:r w:rsidR="005B75E0" w:rsidRPr="005D7234">
        <w:rPr>
          <w:rFonts w:cstheme="minorHAnsi"/>
          <w:sz w:val="20"/>
          <w:szCs w:val="20"/>
        </w:rPr>
        <w:t xml:space="preserve"> and when we deliver it. We understand the impact this could have</w:t>
      </w:r>
      <w:r w:rsidR="00116110" w:rsidRPr="005D7234">
        <w:rPr>
          <w:rFonts w:cstheme="minorHAnsi"/>
          <w:sz w:val="20"/>
          <w:szCs w:val="20"/>
        </w:rPr>
        <w:t xml:space="preserve"> on working memory</w:t>
      </w:r>
      <w:r w:rsidR="005B75E0" w:rsidRPr="005D7234">
        <w:rPr>
          <w:rFonts w:cstheme="minorHAnsi"/>
          <w:sz w:val="20"/>
          <w:szCs w:val="20"/>
        </w:rPr>
        <w:t xml:space="preserve"> and therefore have carefully planned sequence so that</w:t>
      </w:r>
      <w:r w:rsidR="00116110" w:rsidRPr="005D7234">
        <w:rPr>
          <w:rFonts w:cstheme="minorHAnsi"/>
          <w:sz w:val="20"/>
          <w:szCs w:val="20"/>
        </w:rPr>
        <w:t xml:space="preserve"> learning is not restricted as we teach science throughout KS3 and the</w:t>
      </w:r>
      <w:r w:rsidR="005B75E0" w:rsidRPr="005D7234">
        <w:rPr>
          <w:rFonts w:cstheme="minorHAnsi"/>
          <w:sz w:val="20"/>
          <w:szCs w:val="20"/>
        </w:rPr>
        <w:t>n onto KS4. In summary, our</w:t>
      </w:r>
      <w:r w:rsidR="00116110" w:rsidRPr="005D7234">
        <w:rPr>
          <w:rFonts w:cstheme="minorHAnsi"/>
          <w:sz w:val="20"/>
          <w:szCs w:val="20"/>
        </w:rPr>
        <w:t xml:space="preserve"> pupils learn key concepts within each subject domain before further </w:t>
      </w:r>
      <w:r w:rsidR="0002660E" w:rsidRPr="005D7234">
        <w:rPr>
          <w:rFonts w:cstheme="minorHAnsi"/>
          <w:sz w:val="20"/>
          <w:szCs w:val="20"/>
        </w:rPr>
        <w:t xml:space="preserve">progressive </w:t>
      </w:r>
      <w:r w:rsidR="00116110" w:rsidRPr="005D7234">
        <w:rPr>
          <w:rFonts w:cstheme="minorHAnsi"/>
          <w:sz w:val="20"/>
          <w:szCs w:val="20"/>
        </w:rPr>
        <w:t>concepts are taught and lear</w:t>
      </w:r>
      <w:r w:rsidR="005B75E0" w:rsidRPr="005D7234">
        <w:rPr>
          <w:rFonts w:cstheme="minorHAnsi"/>
          <w:sz w:val="20"/>
          <w:szCs w:val="20"/>
        </w:rPr>
        <w:t>nt. We have invested time ensuring</w:t>
      </w:r>
      <w:r w:rsidR="00116110" w:rsidRPr="005D7234">
        <w:rPr>
          <w:rFonts w:cstheme="minorHAnsi"/>
          <w:sz w:val="20"/>
          <w:szCs w:val="20"/>
        </w:rPr>
        <w:t xml:space="preserve"> focus at KS3 </w:t>
      </w:r>
      <w:r w:rsidR="004B1DC5" w:rsidRPr="005D7234">
        <w:rPr>
          <w:rFonts w:cstheme="minorHAnsi"/>
          <w:sz w:val="20"/>
          <w:szCs w:val="20"/>
        </w:rPr>
        <w:t>and AWOL target end point descriptors</w:t>
      </w:r>
      <w:r w:rsidR="005B75E0" w:rsidRPr="005D7234">
        <w:rPr>
          <w:rFonts w:cstheme="minorHAnsi"/>
          <w:sz w:val="20"/>
          <w:szCs w:val="20"/>
        </w:rPr>
        <w:t xml:space="preserve"> are inclusive of key content and principles</w:t>
      </w:r>
      <w:r w:rsidR="004B1DC5" w:rsidRPr="005D7234">
        <w:rPr>
          <w:rFonts w:cstheme="minorHAnsi"/>
          <w:sz w:val="20"/>
          <w:szCs w:val="20"/>
        </w:rPr>
        <w:t xml:space="preserve">. This </w:t>
      </w:r>
      <w:r w:rsidR="005B75E0" w:rsidRPr="005D7234">
        <w:rPr>
          <w:rFonts w:cstheme="minorHAnsi"/>
          <w:sz w:val="20"/>
          <w:szCs w:val="20"/>
        </w:rPr>
        <w:t xml:space="preserve">then </w:t>
      </w:r>
      <w:r w:rsidR="004B1DC5" w:rsidRPr="005D7234">
        <w:rPr>
          <w:rFonts w:cstheme="minorHAnsi"/>
          <w:sz w:val="20"/>
          <w:szCs w:val="20"/>
        </w:rPr>
        <w:t xml:space="preserve">provides the platform needed for </w:t>
      </w:r>
      <w:r w:rsidR="005B75E0" w:rsidRPr="005D7234">
        <w:rPr>
          <w:rFonts w:cstheme="minorHAnsi"/>
          <w:sz w:val="20"/>
          <w:szCs w:val="20"/>
        </w:rPr>
        <w:t>the mastering of</w:t>
      </w:r>
      <w:r w:rsidR="004B1DC5" w:rsidRPr="005D7234">
        <w:rPr>
          <w:rFonts w:cstheme="minorHAnsi"/>
          <w:sz w:val="20"/>
          <w:szCs w:val="20"/>
        </w:rPr>
        <w:t xml:space="preserve"> subject specific knowledge and skills</w:t>
      </w:r>
      <w:r w:rsidR="005B75E0" w:rsidRPr="005D7234">
        <w:rPr>
          <w:rFonts w:cstheme="minorHAnsi"/>
          <w:sz w:val="20"/>
          <w:szCs w:val="20"/>
        </w:rPr>
        <w:t xml:space="preserve"> at KS4</w:t>
      </w:r>
      <w:r w:rsidR="00116110" w:rsidRPr="005D7234">
        <w:rPr>
          <w:rFonts w:cstheme="minorHAnsi"/>
          <w:sz w:val="20"/>
          <w:szCs w:val="20"/>
        </w:rPr>
        <w:t>.</w:t>
      </w:r>
      <w:r w:rsidR="00EE64B7" w:rsidRPr="005D7234">
        <w:rPr>
          <w:rFonts w:cstheme="minorHAnsi"/>
          <w:sz w:val="20"/>
          <w:szCs w:val="20"/>
        </w:rPr>
        <w:t xml:space="preserve"> </w:t>
      </w:r>
    </w:p>
    <w:p w:rsidR="00AB3073" w:rsidRPr="005D7234" w:rsidRDefault="00AB3073" w:rsidP="00AB3073">
      <w:pPr>
        <w:contextualSpacing/>
        <w:jc w:val="both"/>
        <w:rPr>
          <w:rFonts w:cstheme="minorHAnsi"/>
          <w:sz w:val="20"/>
          <w:szCs w:val="20"/>
        </w:rPr>
      </w:pPr>
    </w:p>
    <w:p w:rsidR="00AB3073" w:rsidRPr="005D7234" w:rsidRDefault="00AB3073" w:rsidP="0048755C">
      <w:pPr>
        <w:contextualSpacing/>
        <w:jc w:val="both"/>
        <w:rPr>
          <w:rFonts w:cstheme="minorHAnsi"/>
          <w:b/>
          <w:sz w:val="20"/>
          <w:szCs w:val="20"/>
        </w:rPr>
      </w:pPr>
    </w:p>
    <w:p w:rsidR="004A03BF" w:rsidRPr="005D7234" w:rsidRDefault="004A03BF" w:rsidP="004A03BF">
      <w:pPr>
        <w:numPr>
          <w:ilvl w:val="0"/>
          <w:numId w:val="17"/>
        </w:numPr>
        <w:spacing w:after="200" w:line="276" w:lineRule="auto"/>
        <w:contextualSpacing/>
        <w:jc w:val="both"/>
        <w:rPr>
          <w:rFonts w:cstheme="minorHAnsi"/>
          <w:b/>
          <w:sz w:val="20"/>
          <w:szCs w:val="20"/>
          <w:u w:val="single"/>
        </w:rPr>
      </w:pPr>
      <w:r w:rsidRPr="005D7234">
        <w:rPr>
          <w:rFonts w:cstheme="minorHAnsi"/>
          <w:b/>
          <w:sz w:val="20"/>
          <w:szCs w:val="20"/>
          <w:u w:val="single"/>
        </w:rPr>
        <w:t xml:space="preserve">Clarity around the knowledge and the application of knowledge </w:t>
      </w:r>
    </w:p>
    <w:p w:rsidR="00755141" w:rsidRPr="005D7234" w:rsidRDefault="004A03BF" w:rsidP="0072790A">
      <w:pPr>
        <w:spacing w:after="200" w:line="276" w:lineRule="auto"/>
        <w:contextualSpacing/>
        <w:jc w:val="both"/>
        <w:rPr>
          <w:rFonts w:cstheme="minorHAnsi"/>
          <w:b/>
          <w:sz w:val="20"/>
          <w:szCs w:val="20"/>
        </w:rPr>
      </w:pPr>
      <w:r w:rsidRPr="005D7234">
        <w:rPr>
          <w:rFonts w:cstheme="minorHAnsi"/>
          <w:b/>
          <w:sz w:val="20"/>
          <w:szCs w:val="20"/>
        </w:rPr>
        <w:t>Explicit teaching of subject knowledge and relevant background knowledge that can be applied to problem solving and is transferable between contexts and subjects</w:t>
      </w:r>
      <w:r w:rsidR="001A4023" w:rsidRPr="005D7234">
        <w:rPr>
          <w:rFonts w:cstheme="minorHAnsi"/>
          <w:b/>
          <w:sz w:val="20"/>
          <w:szCs w:val="20"/>
        </w:rPr>
        <w:t>.</w:t>
      </w:r>
    </w:p>
    <w:p w:rsidR="004B1DC5" w:rsidRPr="005D7234" w:rsidRDefault="004B1DC5" w:rsidP="0072790A">
      <w:pPr>
        <w:spacing w:after="200" w:line="276" w:lineRule="auto"/>
        <w:contextualSpacing/>
        <w:jc w:val="both"/>
        <w:rPr>
          <w:rFonts w:cstheme="minorHAnsi"/>
          <w:b/>
          <w:sz w:val="20"/>
          <w:szCs w:val="20"/>
        </w:rPr>
      </w:pPr>
    </w:p>
    <w:p w:rsidR="00746915" w:rsidRPr="005D7234" w:rsidRDefault="004B1DC5" w:rsidP="00AE59F8">
      <w:pPr>
        <w:spacing w:after="200" w:line="276" w:lineRule="auto"/>
        <w:contextualSpacing/>
        <w:jc w:val="both"/>
        <w:rPr>
          <w:rFonts w:cstheme="minorHAnsi"/>
          <w:sz w:val="20"/>
          <w:szCs w:val="20"/>
        </w:rPr>
      </w:pPr>
      <w:r w:rsidRPr="005D7234">
        <w:rPr>
          <w:rFonts w:cstheme="minorHAnsi"/>
          <w:sz w:val="20"/>
          <w:szCs w:val="20"/>
        </w:rPr>
        <w:t xml:space="preserve">Across the key stages, we deliver explicit lesson plans for each and every topic. Each lesson details what knowledge or skill is to be learnt as an outcome and how such outcomes should be delivered. </w:t>
      </w:r>
      <w:r w:rsidR="00B54D87" w:rsidRPr="005D7234">
        <w:rPr>
          <w:rFonts w:cstheme="minorHAnsi"/>
          <w:sz w:val="20"/>
          <w:szCs w:val="20"/>
        </w:rPr>
        <w:t xml:space="preserve">All </w:t>
      </w:r>
      <w:proofErr w:type="gramStart"/>
      <w:r w:rsidR="00B54D87" w:rsidRPr="005D7234">
        <w:rPr>
          <w:rFonts w:cstheme="minorHAnsi"/>
          <w:sz w:val="20"/>
          <w:szCs w:val="20"/>
        </w:rPr>
        <w:t>outcomes  link</w:t>
      </w:r>
      <w:proofErr w:type="gramEnd"/>
      <w:r w:rsidR="00B54D87" w:rsidRPr="005D7234">
        <w:rPr>
          <w:rFonts w:cstheme="minorHAnsi"/>
          <w:sz w:val="20"/>
          <w:szCs w:val="20"/>
        </w:rPr>
        <w:t xml:space="preserve"> to agreed endpoints for pupils within KS3 or 4. </w:t>
      </w:r>
      <w:r w:rsidR="00AE59F8" w:rsidRPr="005D7234">
        <w:rPr>
          <w:rFonts w:cstheme="minorHAnsi"/>
          <w:sz w:val="20"/>
          <w:szCs w:val="20"/>
        </w:rPr>
        <w:t xml:space="preserve">Many lessons begin with a short review of previous learning and can take the form of low stakes quizzing or simple recall of content previously learnt. </w:t>
      </w:r>
      <w:r w:rsidR="00746915" w:rsidRPr="005D7234">
        <w:rPr>
          <w:rFonts w:cstheme="minorHAnsi"/>
          <w:sz w:val="20"/>
          <w:szCs w:val="20"/>
        </w:rPr>
        <w:t>The development of effective k</w:t>
      </w:r>
      <w:r w:rsidR="0002660E" w:rsidRPr="005D7234">
        <w:rPr>
          <w:rFonts w:cstheme="minorHAnsi"/>
          <w:sz w:val="20"/>
          <w:szCs w:val="20"/>
        </w:rPr>
        <w:t>nowledge o</w:t>
      </w:r>
      <w:r w:rsidR="00AE59F8" w:rsidRPr="005D7234">
        <w:rPr>
          <w:rFonts w:cstheme="minorHAnsi"/>
          <w:sz w:val="20"/>
          <w:szCs w:val="20"/>
        </w:rPr>
        <w:t xml:space="preserve">rganisers </w:t>
      </w:r>
      <w:r w:rsidR="00746915" w:rsidRPr="005D7234">
        <w:rPr>
          <w:rFonts w:cstheme="minorHAnsi"/>
          <w:sz w:val="20"/>
          <w:szCs w:val="20"/>
        </w:rPr>
        <w:t xml:space="preserve">for all topics, for use at KS3 and 4, provide consistency </w:t>
      </w:r>
      <w:r w:rsidR="0002660E" w:rsidRPr="005D7234">
        <w:rPr>
          <w:rFonts w:cstheme="minorHAnsi"/>
          <w:sz w:val="20"/>
          <w:szCs w:val="20"/>
        </w:rPr>
        <w:t>in low stakes quizzing practice as well worthwhile effective homework setting.</w:t>
      </w:r>
    </w:p>
    <w:p w:rsidR="00AE59F8" w:rsidRPr="005D7234" w:rsidRDefault="00746915" w:rsidP="00AE59F8">
      <w:pPr>
        <w:spacing w:after="200" w:line="276" w:lineRule="auto"/>
        <w:contextualSpacing/>
        <w:jc w:val="both"/>
        <w:rPr>
          <w:rFonts w:cstheme="minorHAnsi"/>
          <w:sz w:val="20"/>
          <w:szCs w:val="20"/>
        </w:rPr>
      </w:pPr>
      <w:r w:rsidRPr="005D7234">
        <w:rPr>
          <w:rFonts w:cstheme="minorHAnsi"/>
          <w:sz w:val="20"/>
          <w:szCs w:val="20"/>
        </w:rPr>
        <w:t>The p</w:t>
      </w:r>
      <w:r w:rsidR="00AE59F8" w:rsidRPr="005D7234">
        <w:rPr>
          <w:rFonts w:cstheme="minorHAnsi"/>
          <w:sz w:val="20"/>
          <w:szCs w:val="20"/>
        </w:rPr>
        <w:t>resent</w:t>
      </w:r>
      <w:r w:rsidRPr="005D7234">
        <w:rPr>
          <w:rFonts w:cstheme="minorHAnsi"/>
          <w:sz w:val="20"/>
          <w:szCs w:val="20"/>
        </w:rPr>
        <w:t xml:space="preserve">ation of new material occurs in small steps followed by plenty of </w:t>
      </w:r>
      <w:r w:rsidR="00AE59F8" w:rsidRPr="005D7234">
        <w:rPr>
          <w:rFonts w:cstheme="minorHAnsi"/>
          <w:sz w:val="20"/>
          <w:szCs w:val="20"/>
        </w:rPr>
        <w:t>student practice</w:t>
      </w:r>
      <w:r w:rsidRPr="005D7234">
        <w:rPr>
          <w:rFonts w:cstheme="minorHAnsi"/>
          <w:sz w:val="20"/>
          <w:szCs w:val="20"/>
        </w:rPr>
        <w:t>- SLOP. In this way pupils become confident applying the skills needed across the science topic domains.</w:t>
      </w:r>
    </w:p>
    <w:p w:rsidR="004B1DC5" w:rsidRPr="005D7234" w:rsidRDefault="00746915" w:rsidP="0072790A">
      <w:pPr>
        <w:spacing w:after="200" w:line="276" w:lineRule="auto"/>
        <w:contextualSpacing/>
        <w:jc w:val="both"/>
        <w:rPr>
          <w:rFonts w:cstheme="minorHAnsi"/>
          <w:sz w:val="20"/>
          <w:szCs w:val="20"/>
        </w:rPr>
      </w:pPr>
      <w:r w:rsidRPr="005D7234">
        <w:rPr>
          <w:rFonts w:cstheme="minorHAnsi"/>
          <w:sz w:val="20"/>
          <w:szCs w:val="20"/>
        </w:rPr>
        <w:t xml:space="preserve">Alongside written practice, </w:t>
      </w:r>
      <w:r w:rsidR="00AE59F8" w:rsidRPr="005D7234">
        <w:rPr>
          <w:rFonts w:cstheme="minorHAnsi"/>
          <w:sz w:val="20"/>
          <w:szCs w:val="20"/>
        </w:rPr>
        <w:t xml:space="preserve">a large number of questions </w:t>
      </w:r>
      <w:r w:rsidRPr="005D7234">
        <w:rPr>
          <w:rFonts w:cstheme="minorHAnsi"/>
          <w:sz w:val="20"/>
          <w:szCs w:val="20"/>
        </w:rPr>
        <w:t xml:space="preserve">are asked to elicit pupil ideas </w:t>
      </w:r>
      <w:r w:rsidR="00AE59F8" w:rsidRPr="005D7234">
        <w:rPr>
          <w:rFonts w:cstheme="minorHAnsi"/>
          <w:sz w:val="20"/>
          <w:szCs w:val="20"/>
        </w:rPr>
        <w:t xml:space="preserve">and </w:t>
      </w:r>
      <w:r w:rsidRPr="005D7234">
        <w:rPr>
          <w:rFonts w:cstheme="minorHAnsi"/>
          <w:sz w:val="20"/>
          <w:szCs w:val="20"/>
        </w:rPr>
        <w:t xml:space="preserve">to </w:t>
      </w:r>
      <w:r w:rsidR="00F37BE9" w:rsidRPr="005D7234">
        <w:rPr>
          <w:rFonts w:cstheme="minorHAnsi"/>
          <w:sz w:val="20"/>
          <w:szCs w:val="20"/>
        </w:rPr>
        <w:t>check for understanding. To ensure learning of knowledge has taken place</w:t>
      </w:r>
      <w:r w:rsidR="00533732" w:rsidRPr="005D7234">
        <w:rPr>
          <w:rFonts w:cstheme="minorHAnsi"/>
          <w:sz w:val="20"/>
          <w:szCs w:val="20"/>
        </w:rPr>
        <w:t>,</w:t>
      </w:r>
      <w:r w:rsidR="00AE59F8" w:rsidRPr="005D7234">
        <w:rPr>
          <w:rFonts w:cstheme="minorHAnsi"/>
          <w:sz w:val="20"/>
          <w:szCs w:val="20"/>
        </w:rPr>
        <w:t xml:space="preserve"> responses of all students</w:t>
      </w:r>
      <w:r w:rsidR="00F37BE9" w:rsidRPr="005D7234">
        <w:rPr>
          <w:rFonts w:cstheme="minorHAnsi"/>
          <w:sz w:val="20"/>
          <w:szCs w:val="20"/>
        </w:rPr>
        <w:t xml:space="preserve"> are </w:t>
      </w:r>
      <w:proofErr w:type="gramStart"/>
      <w:r w:rsidR="00F37BE9" w:rsidRPr="005D7234">
        <w:rPr>
          <w:rFonts w:cstheme="minorHAnsi"/>
          <w:sz w:val="20"/>
          <w:szCs w:val="20"/>
        </w:rPr>
        <w:t>checked,  learning</w:t>
      </w:r>
      <w:proofErr w:type="gramEnd"/>
      <w:r w:rsidR="00F37BE9" w:rsidRPr="005D7234">
        <w:rPr>
          <w:rFonts w:cstheme="minorHAnsi"/>
          <w:sz w:val="20"/>
          <w:szCs w:val="20"/>
        </w:rPr>
        <w:t xml:space="preserve"> gaps identified. S</w:t>
      </w:r>
      <w:r w:rsidR="00AE59F8" w:rsidRPr="005D7234">
        <w:rPr>
          <w:rFonts w:cstheme="minorHAnsi"/>
          <w:sz w:val="20"/>
          <w:szCs w:val="20"/>
        </w:rPr>
        <w:t>ystematic feedback and corrections</w:t>
      </w:r>
      <w:r w:rsidR="00F37BE9" w:rsidRPr="005D7234">
        <w:rPr>
          <w:rFonts w:cstheme="minorHAnsi"/>
          <w:sz w:val="20"/>
          <w:szCs w:val="20"/>
        </w:rPr>
        <w:t xml:space="preserve"> then follow either verbally or via written feedback and </w:t>
      </w:r>
      <w:r w:rsidR="00533732" w:rsidRPr="005D7234">
        <w:rPr>
          <w:rFonts w:cstheme="minorHAnsi"/>
          <w:sz w:val="20"/>
          <w:szCs w:val="20"/>
        </w:rPr>
        <w:t xml:space="preserve">is </w:t>
      </w:r>
      <w:r w:rsidR="00F37BE9" w:rsidRPr="005D7234">
        <w:rPr>
          <w:rFonts w:cstheme="minorHAnsi"/>
          <w:sz w:val="20"/>
          <w:szCs w:val="20"/>
        </w:rPr>
        <w:t xml:space="preserve">then </w:t>
      </w:r>
      <w:r w:rsidR="00533732" w:rsidRPr="005D7234">
        <w:rPr>
          <w:rFonts w:cstheme="minorHAnsi"/>
          <w:sz w:val="20"/>
          <w:szCs w:val="20"/>
        </w:rPr>
        <w:t xml:space="preserve">followed by </w:t>
      </w:r>
      <w:r w:rsidR="00F37BE9" w:rsidRPr="005D7234">
        <w:rPr>
          <w:rFonts w:cstheme="minorHAnsi"/>
          <w:sz w:val="20"/>
          <w:szCs w:val="20"/>
        </w:rPr>
        <w:t>DIRT activities</w:t>
      </w:r>
      <w:r w:rsidR="00533732" w:rsidRPr="005D7234">
        <w:rPr>
          <w:rFonts w:cstheme="minorHAnsi"/>
          <w:sz w:val="20"/>
          <w:szCs w:val="20"/>
        </w:rPr>
        <w:t>. M</w:t>
      </w:r>
      <w:r w:rsidR="00AE59F8" w:rsidRPr="005D7234">
        <w:rPr>
          <w:rFonts w:cstheme="minorHAnsi"/>
          <w:sz w:val="20"/>
          <w:szCs w:val="20"/>
        </w:rPr>
        <w:t xml:space="preserve">aterial </w:t>
      </w:r>
      <w:r w:rsidR="00533732" w:rsidRPr="005D7234">
        <w:rPr>
          <w:rFonts w:cstheme="minorHAnsi"/>
          <w:sz w:val="20"/>
          <w:szCs w:val="20"/>
        </w:rPr>
        <w:t xml:space="preserve">is re-taught when necessary. </w:t>
      </w:r>
    </w:p>
    <w:p w:rsidR="0048755C" w:rsidRPr="005D7234" w:rsidRDefault="0048755C" w:rsidP="0072790A">
      <w:pPr>
        <w:spacing w:after="200" w:line="276" w:lineRule="auto"/>
        <w:contextualSpacing/>
        <w:jc w:val="both"/>
        <w:rPr>
          <w:rFonts w:cstheme="minorHAnsi"/>
          <w:b/>
          <w:sz w:val="20"/>
          <w:szCs w:val="20"/>
        </w:rPr>
      </w:pPr>
    </w:p>
    <w:p w:rsidR="0002660E" w:rsidRPr="005D7234" w:rsidRDefault="0002660E" w:rsidP="0072790A">
      <w:pPr>
        <w:spacing w:after="200" w:line="276" w:lineRule="auto"/>
        <w:contextualSpacing/>
        <w:jc w:val="both"/>
        <w:rPr>
          <w:rFonts w:cstheme="minorHAnsi"/>
          <w:b/>
          <w:sz w:val="20"/>
          <w:szCs w:val="20"/>
        </w:rPr>
      </w:pPr>
    </w:p>
    <w:p w:rsidR="0002660E" w:rsidRPr="005D7234" w:rsidRDefault="0002660E" w:rsidP="0072790A">
      <w:pPr>
        <w:spacing w:after="200" w:line="276" w:lineRule="auto"/>
        <w:contextualSpacing/>
        <w:jc w:val="both"/>
        <w:rPr>
          <w:rFonts w:cstheme="minorHAnsi"/>
          <w:b/>
          <w:sz w:val="20"/>
          <w:szCs w:val="20"/>
        </w:rPr>
      </w:pPr>
    </w:p>
    <w:p w:rsidR="005C244A" w:rsidRPr="005D7234" w:rsidRDefault="005C244A" w:rsidP="0002660E">
      <w:pPr>
        <w:numPr>
          <w:ilvl w:val="0"/>
          <w:numId w:val="17"/>
        </w:numPr>
        <w:spacing w:after="200" w:line="276" w:lineRule="auto"/>
        <w:contextualSpacing/>
        <w:jc w:val="both"/>
        <w:rPr>
          <w:rFonts w:cstheme="minorHAnsi"/>
          <w:b/>
          <w:sz w:val="20"/>
          <w:szCs w:val="20"/>
          <w:u w:val="single"/>
        </w:rPr>
      </w:pPr>
      <w:r w:rsidRPr="005D7234">
        <w:rPr>
          <w:rFonts w:cstheme="minorHAnsi"/>
          <w:b/>
          <w:sz w:val="20"/>
          <w:szCs w:val="20"/>
          <w:u w:val="single"/>
        </w:rPr>
        <w:t>Vocab and Literacy</w:t>
      </w:r>
    </w:p>
    <w:p w:rsidR="008F76EB" w:rsidRPr="005D7234" w:rsidRDefault="008F76EB" w:rsidP="0072790A">
      <w:pPr>
        <w:spacing w:after="200" w:line="276" w:lineRule="auto"/>
        <w:contextualSpacing/>
        <w:jc w:val="both"/>
        <w:rPr>
          <w:rFonts w:cstheme="minorHAnsi"/>
          <w:b/>
          <w:sz w:val="20"/>
          <w:szCs w:val="20"/>
        </w:rPr>
      </w:pPr>
      <w:r w:rsidRPr="005D7234">
        <w:rPr>
          <w:rFonts w:cstheme="minorHAnsi"/>
          <w:b/>
          <w:sz w:val="20"/>
          <w:szCs w:val="20"/>
        </w:rPr>
        <w:t xml:space="preserve">Vocabulary: Explicit teaching of vocabulary at all stages of a subject. </w:t>
      </w:r>
    </w:p>
    <w:p w:rsidR="00533732" w:rsidRPr="005D7234" w:rsidRDefault="00533732" w:rsidP="0072790A">
      <w:pPr>
        <w:spacing w:after="200" w:line="276" w:lineRule="auto"/>
        <w:contextualSpacing/>
        <w:jc w:val="both"/>
        <w:rPr>
          <w:rFonts w:cstheme="minorHAnsi"/>
          <w:b/>
          <w:sz w:val="20"/>
          <w:szCs w:val="20"/>
        </w:rPr>
      </w:pPr>
    </w:p>
    <w:p w:rsidR="00533732" w:rsidRPr="005D7234" w:rsidRDefault="00533732" w:rsidP="00533732">
      <w:pPr>
        <w:spacing w:after="200" w:line="276" w:lineRule="auto"/>
        <w:contextualSpacing/>
        <w:jc w:val="both"/>
        <w:rPr>
          <w:rFonts w:cstheme="minorHAnsi"/>
          <w:sz w:val="20"/>
          <w:szCs w:val="20"/>
        </w:rPr>
      </w:pPr>
      <w:r w:rsidRPr="005D7234">
        <w:rPr>
          <w:rFonts w:cstheme="minorHAnsi"/>
          <w:sz w:val="20"/>
          <w:szCs w:val="20"/>
        </w:rPr>
        <w:t>All lesson plans contain key terms and words that need to be taught</w:t>
      </w:r>
      <w:r w:rsidR="00B80ABF" w:rsidRPr="005D7234">
        <w:rPr>
          <w:rFonts w:cstheme="minorHAnsi"/>
          <w:sz w:val="20"/>
          <w:szCs w:val="20"/>
        </w:rPr>
        <w:t xml:space="preserve"> within a topic or specification</w:t>
      </w:r>
      <w:r w:rsidRPr="005D7234">
        <w:rPr>
          <w:rFonts w:cstheme="minorHAnsi"/>
          <w:sz w:val="20"/>
          <w:szCs w:val="20"/>
        </w:rPr>
        <w:t xml:space="preserve">. Key command words exist on lab walls and are used as point of reference when teaching the meaning of said command words. </w:t>
      </w:r>
      <w:r w:rsidR="00B80ABF" w:rsidRPr="005D7234">
        <w:rPr>
          <w:rFonts w:cstheme="minorHAnsi"/>
          <w:sz w:val="20"/>
          <w:szCs w:val="20"/>
        </w:rPr>
        <w:t>Within k</w:t>
      </w:r>
      <w:r w:rsidRPr="005D7234">
        <w:rPr>
          <w:rFonts w:cstheme="minorHAnsi"/>
          <w:sz w:val="20"/>
          <w:szCs w:val="20"/>
        </w:rPr>
        <w:t xml:space="preserve">nowledge organisers, tier 3 words are included that are taught within schema and the meaning of such words form part of regular </w:t>
      </w:r>
      <w:r w:rsidR="00B80ABF" w:rsidRPr="005D7234">
        <w:rPr>
          <w:rFonts w:cstheme="minorHAnsi"/>
          <w:sz w:val="20"/>
          <w:szCs w:val="20"/>
        </w:rPr>
        <w:t>retrieval and low stakes</w:t>
      </w:r>
      <w:r w:rsidRPr="005D7234">
        <w:rPr>
          <w:rFonts w:cstheme="minorHAnsi"/>
          <w:sz w:val="20"/>
          <w:szCs w:val="20"/>
        </w:rPr>
        <w:t xml:space="preserve"> testing, often at the start </w:t>
      </w:r>
      <w:r w:rsidR="00B80ABF" w:rsidRPr="005D7234">
        <w:rPr>
          <w:rFonts w:cstheme="minorHAnsi"/>
          <w:sz w:val="20"/>
          <w:szCs w:val="20"/>
        </w:rPr>
        <w:t>of lesso</w:t>
      </w:r>
      <w:r w:rsidRPr="005D7234">
        <w:rPr>
          <w:rFonts w:cstheme="minorHAnsi"/>
          <w:sz w:val="20"/>
          <w:szCs w:val="20"/>
        </w:rPr>
        <w:t>n</w:t>
      </w:r>
      <w:r w:rsidR="00B80ABF" w:rsidRPr="005D7234">
        <w:rPr>
          <w:rFonts w:cstheme="minorHAnsi"/>
          <w:sz w:val="20"/>
          <w:szCs w:val="20"/>
        </w:rPr>
        <w:t>.</w:t>
      </w:r>
    </w:p>
    <w:p w:rsidR="00256BA3" w:rsidRPr="005D7234" w:rsidRDefault="00AC44C3" w:rsidP="00256BA3">
      <w:pPr>
        <w:rPr>
          <w:rFonts w:cstheme="minorHAnsi"/>
          <w:sz w:val="20"/>
          <w:szCs w:val="20"/>
        </w:rPr>
      </w:pPr>
      <w:r w:rsidRPr="005D7234">
        <w:rPr>
          <w:rFonts w:cstheme="minorHAnsi"/>
          <w:sz w:val="20"/>
          <w:szCs w:val="20"/>
          <w:shd w:val="clear" w:color="auto" w:fill="FFFFFF"/>
        </w:rPr>
        <w:t xml:space="preserve">To develop deeper understanding of key science vocabulary, various resources may be used in lessons. </w:t>
      </w:r>
      <w:proofErr w:type="spellStart"/>
      <w:r w:rsidR="00DC61CC" w:rsidRPr="005D7234">
        <w:rPr>
          <w:rFonts w:cstheme="minorHAnsi"/>
          <w:sz w:val="20"/>
          <w:szCs w:val="20"/>
          <w:shd w:val="clear" w:color="auto" w:fill="FFFFFF"/>
        </w:rPr>
        <w:t>e</w:t>
      </w:r>
      <w:r w:rsidRPr="005D7234">
        <w:rPr>
          <w:rFonts w:cstheme="minorHAnsi"/>
          <w:sz w:val="20"/>
          <w:szCs w:val="20"/>
          <w:shd w:val="clear" w:color="auto" w:fill="FFFFFF"/>
        </w:rPr>
        <w:t>g</w:t>
      </w:r>
      <w:proofErr w:type="spellEnd"/>
      <w:r w:rsidRPr="005D7234">
        <w:rPr>
          <w:rFonts w:cstheme="minorHAnsi"/>
          <w:sz w:val="20"/>
          <w:szCs w:val="20"/>
          <w:shd w:val="clear" w:color="auto" w:fill="FFFFFF"/>
        </w:rPr>
        <w:t xml:space="preserve"> t</w:t>
      </w:r>
      <w:r w:rsidR="003021DB" w:rsidRPr="005D7234">
        <w:rPr>
          <w:rFonts w:cstheme="minorHAnsi"/>
          <w:sz w:val="20"/>
          <w:szCs w:val="20"/>
          <w:shd w:val="clear" w:color="auto" w:fill="FFFFFF"/>
        </w:rPr>
        <w:t xml:space="preserve">he </w:t>
      </w:r>
      <w:proofErr w:type="spellStart"/>
      <w:r w:rsidR="000C39DE" w:rsidRPr="005D7234">
        <w:rPr>
          <w:rStyle w:val="Strong"/>
          <w:rFonts w:cstheme="minorHAnsi"/>
          <w:b w:val="0"/>
          <w:sz w:val="20"/>
          <w:szCs w:val="20"/>
        </w:rPr>
        <w:t>Fre</w:t>
      </w:r>
      <w:r w:rsidR="003021DB" w:rsidRPr="005D7234">
        <w:rPr>
          <w:rStyle w:val="Strong"/>
          <w:rFonts w:cstheme="minorHAnsi"/>
          <w:b w:val="0"/>
          <w:sz w:val="20"/>
          <w:szCs w:val="20"/>
        </w:rPr>
        <w:t>yer</w:t>
      </w:r>
      <w:proofErr w:type="spellEnd"/>
      <w:r w:rsidR="003021DB" w:rsidRPr="005D7234">
        <w:rPr>
          <w:rStyle w:val="Strong"/>
          <w:rFonts w:cstheme="minorHAnsi"/>
          <w:b w:val="0"/>
          <w:sz w:val="20"/>
          <w:szCs w:val="20"/>
        </w:rPr>
        <w:t xml:space="preserve"> Model</w:t>
      </w:r>
      <w:r w:rsidRPr="005D7234">
        <w:rPr>
          <w:rFonts w:cstheme="minorHAnsi"/>
          <w:sz w:val="20"/>
          <w:szCs w:val="20"/>
          <w:shd w:val="clear" w:color="auto" w:fill="FFFFFF"/>
        </w:rPr>
        <w:t xml:space="preserve"> is a graphic organiser</w:t>
      </w:r>
      <w:r w:rsidR="003021DB" w:rsidRPr="005D7234">
        <w:rPr>
          <w:rFonts w:cstheme="minorHAnsi"/>
          <w:sz w:val="20"/>
          <w:szCs w:val="20"/>
          <w:shd w:val="clear" w:color="auto" w:fill="FFFFFF"/>
        </w:rPr>
        <w:t xml:space="preserve"> </w:t>
      </w:r>
      <w:r w:rsidRPr="005D7234">
        <w:rPr>
          <w:rFonts w:cstheme="minorHAnsi"/>
          <w:sz w:val="20"/>
          <w:szCs w:val="20"/>
          <w:shd w:val="clear" w:color="auto" w:fill="FFFFFF"/>
        </w:rPr>
        <w:t xml:space="preserve">used for </w:t>
      </w:r>
      <w:r w:rsidR="003021DB" w:rsidRPr="005D7234">
        <w:rPr>
          <w:rFonts w:cstheme="minorHAnsi"/>
          <w:sz w:val="20"/>
          <w:szCs w:val="20"/>
          <w:shd w:val="clear" w:color="auto" w:fill="FFFFFF"/>
        </w:rPr>
        <w:t xml:space="preserve">building student vocabulary. This technique requires students to define target vocabulary and apply their knowledge by generating examples and non-examples, giving characteristics, and/or drawing a picture to illustrate the meaning of the </w:t>
      </w:r>
      <w:r w:rsidRPr="005D7234">
        <w:rPr>
          <w:rStyle w:val="Strong"/>
          <w:rFonts w:cstheme="minorHAnsi"/>
          <w:b w:val="0"/>
          <w:sz w:val="20"/>
          <w:szCs w:val="20"/>
        </w:rPr>
        <w:t>word.</w:t>
      </w:r>
      <w:r w:rsidRPr="005D7234">
        <w:rPr>
          <w:rFonts w:cstheme="minorHAnsi"/>
          <w:sz w:val="20"/>
          <w:szCs w:val="20"/>
        </w:rPr>
        <w:t xml:space="preserve"> </w:t>
      </w:r>
      <w:r w:rsidR="00DC61CC" w:rsidRPr="005D7234">
        <w:rPr>
          <w:rFonts w:cstheme="minorHAnsi"/>
          <w:sz w:val="20"/>
          <w:szCs w:val="20"/>
        </w:rPr>
        <w:t>In addition and t</w:t>
      </w:r>
      <w:r w:rsidRPr="005D7234">
        <w:rPr>
          <w:rFonts w:cstheme="minorHAnsi"/>
          <w:sz w:val="20"/>
          <w:szCs w:val="20"/>
        </w:rPr>
        <w:t>o develop confidence in the use of key vocabulary,</w:t>
      </w:r>
      <w:r w:rsidR="003021DB" w:rsidRPr="005D7234">
        <w:rPr>
          <w:rFonts w:cstheme="minorHAnsi"/>
          <w:sz w:val="20"/>
          <w:szCs w:val="20"/>
        </w:rPr>
        <w:t xml:space="preserve"> </w:t>
      </w:r>
      <w:r w:rsidRPr="005D7234">
        <w:rPr>
          <w:rFonts w:cstheme="minorHAnsi"/>
          <w:sz w:val="20"/>
          <w:szCs w:val="20"/>
        </w:rPr>
        <w:t xml:space="preserve">other </w:t>
      </w:r>
      <w:r w:rsidR="003021DB" w:rsidRPr="005D7234">
        <w:rPr>
          <w:rFonts w:cstheme="minorHAnsi"/>
          <w:sz w:val="20"/>
          <w:szCs w:val="20"/>
        </w:rPr>
        <w:t xml:space="preserve">activities </w:t>
      </w:r>
      <w:r w:rsidRPr="005D7234">
        <w:rPr>
          <w:rFonts w:cstheme="minorHAnsi"/>
          <w:sz w:val="20"/>
          <w:szCs w:val="20"/>
        </w:rPr>
        <w:t>are typical within science lessons</w:t>
      </w:r>
      <w:r w:rsidR="00DC61CC" w:rsidRPr="005D7234">
        <w:rPr>
          <w:rFonts w:cstheme="minorHAnsi"/>
          <w:sz w:val="20"/>
          <w:szCs w:val="20"/>
        </w:rPr>
        <w:t xml:space="preserve">: </w:t>
      </w:r>
      <w:r w:rsidRPr="005D7234">
        <w:rPr>
          <w:rFonts w:cstheme="minorHAnsi"/>
          <w:sz w:val="20"/>
          <w:szCs w:val="20"/>
        </w:rPr>
        <w:t>repetitive s</w:t>
      </w:r>
      <w:r w:rsidR="003021DB" w:rsidRPr="005D7234">
        <w:rPr>
          <w:rFonts w:cstheme="minorHAnsi"/>
          <w:sz w:val="20"/>
          <w:szCs w:val="20"/>
        </w:rPr>
        <w:t xml:space="preserve">tarters </w:t>
      </w:r>
      <w:r w:rsidRPr="005D7234">
        <w:rPr>
          <w:rFonts w:cstheme="minorHAnsi"/>
          <w:sz w:val="20"/>
          <w:szCs w:val="20"/>
        </w:rPr>
        <w:t xml:space="preserve">that consider the use of tier 3 words; </w:t>
      </w:r>
      <w:r w:rsidR="00DC61CC" w:rsidRPr="005D7234">
        <w:rPr>
          <w:rFonts w:cstheme="minorHAnsi"/>
          <w:sz w:val="20"/>
          <w:szCs w:val="20"/>
        </w:rPr>
        <w:t>q</w:t>
      </w:r>
      <w:r w:rsidRPr="005D7234">
        <w:rPr>
          <w:rFonts w:cstheme="minorHAnsi"/>
          <w:sz w:val="20"/>
          <w:szCs w:val="20"/>
        </w:rPr>
        <w:t xml:space="preserve">uick definitions </w:t>
      </w:r>
      <w:r w:rsidR="000C39DE" w:rsidRPr="005D7234">
        <w:rPr>
          <w:rFonts w:cstheme="minorHAnsi"/>
          <w:sz w:val="20"/>
          <w:szCs w:val="20"/>
        </w:rPr>
        <w:t>tests following spaced practice</w:t>
      </w:r>
      <w:r w:rsidRPr="005D7234">
        <w:rPr>
          <w:rFonts w:cstheme="minorHAnsi"/>
          <w:sz w:val="20"/>
          <w:szCs w:val="20"/>
        </w:rPr>
        <w:t xml:space="preserve">; frequent </w:t>
      </w:r>
      <w:r w:rsidR="003021DB" w:rsidRPr="005D7234">
        <w:rPr>
          <w:rFonts w:cstheme="minorHAnsi"/>
          <w:sz w:val="20"/>
          <w:szCs w:val="20"/>
        </w:rPr>
        <w:t>writing ac</w:t>
      </w:r>
      <w:r w:rsidRPr="005D7234">
        <w:rPr>
          <w:rFonts w:cstheme="minorHAnsi"/>
          <w:sz w:val="20"/>
          <w:szCs w:val="20"/>
        </w:rPr>
        <w:t xml:space="preserve">tivities </w:t>
      </w:r>
      <w:r w:rsidR="003021DB" w:rsidRPr="005D7234">
        <w:rPr>
          <w:rFonts w:cstheme="minorHAnsi"/>
          <w:sz w:val="20"/>
          <w:szCs w:val="20"/>
        </w:rPr>
        <w:t xml:space="preserve">requiring use of </w:t>
      </w:r>
      <w:r w:rsidR="00256BA3" w:rsidRPr="005D7234">
        <w:rPr>
          <w:rFonts w:cstheme="minorHAnsi"/>
          <w:sz w:val="20"/>
          <w:szCs w:val="20"/>
        </w:rPr>
        <w:t xml:space="preserve">key </w:t>
      </w:r>
      <w:r w:rsidR="003021DB" w:rsidRPr="005D7234">
        <w:rPr>
          <w:rFonts w:cstheme="minorHAnsi"/>
          <w:sz w:val="20"/>
          <w:szCs w:val="20"/>
        </w:rPr>
        <w:t>terms</w:t>
      </w:r>
      <w:r w:rsidRPr="005D7234">
        <w:rPr>
          <w:rFonts w:cstheme="minorHAnsi"/>
          <w:sz w:val="20"/>
          <w:szCs w:val="20"/>
        </w:rPr>
        <w:t xml:space="preserve"> such as ‘extended response’ questions at </w:t>
      </w:r>
      <w:proofErr w:type="gramStart"/>
      <w:r w:rsidRPr="005D7234">
        <w:rPr>
          <w:rFonts w:cstheme="minorHAnsi"/>
          <w:sz w:val="20"/>
          <w:szCs w:val="20"/>
        </w:rPr>
        <w:t xml:space="preserve">GCSE </w:t>
      </w:r>
      <w:r w:rsidR="00256BA3" w:rsidRPr="005D7234">
        <w:rPr>
          <w:rFonts w:cstheme="minorHAnsi"/>
          <w:sz w:val="20"/>
          <w:szCs w:val="20"/>
        </w:rPr>
        <w:t xml:space="preserve"> as</w:t>
      </w:r>
      <w:proofErr w:type="gramEnd"/>
      <w:r w:rsidR="00256BA3" w:rsidRPr="005D7234">
        <w:rPr>
          <w:rFonts w:cstheme="minorHAnsi"/>
          <w:sz w:val="20"/>
          <w:szCs w:val="20"/>
        </w:rPr>
        <w:t xml:space="preserve"> well as the occasional spelling test, seen mainly at KS3.</w:t>
      </w:r>
    </w:p>
    <w:p w:rsidR="00256BA3" w:rsidRPr="005D7234" w:rsidRDefault="00256BA3" w:rsidP="00256BA3">
      <w:pPr>
        <w:jc w:val="both"/>
        <w:rPr>
          <w:rFonts w:cstheme="minorHAnsi"/>
          <w:sz w:val="20"/>
          <w:szCs w:val="20"/>
        </w:rPr>
      </w:pPr>
      <w:r w:rsidRPr="005D7234">
        <w:rPr>
          <w:rFonts w:eastAsia="Times New Roman" w:cstheme="minorHAnsi"/>
          <w:sz w:val="20"/>
          <w:szCs w:val="20"/>
          <w:lang w:eastAsia="en-GB"/>
        </w:rPr>
        <w:t xml:space="preserve">Structure to extended writing </w:t>
      </w:r>
      <w:r w:rsidR="0002660E" w:rsidRPr="005D7234">
        <w:rPr>
          <w:rFonts w:eastAsia="Times New Roman" w:cstheme="minorHAnsi"/>
          <w:sz w:val="20"/>
          <w:szCs w:val="20"/>
          <w:lang w:eastAsia="en-GB"/>
        </w:rPr>
        <w:t>is</w:t>
      </w:r>
      <w:r w:rsidRPr="005D7234">
        <w:rPr>
          <w:rFonts w:eastAsia="Times New Roman" w:cstheme="minorHAnsi"/>
          <w:sz w:val="20"/>
          <w:szCs w:val="20"/>
          <w:lang w:eastAsia="en-GB"/>
        </w:rPr>
        <w:t xml:space="preserve"> taught across all years within science. BUG (i.e. box command word- underline key points and then glance back over question) allows for commonality across science and the building of confidence for students</w:t>
      </w:r>
    </w:p>
    <w:p w:rsidR="00082801" w:rsidRPr="005D7234" w:rsidRDefault="005C244A" w:rsidP="00256BA3">
      <w:pPr>
        <w:rPr>
          <w:rFonts w:cstheme="minorHAnsi"/>
          <w:sz w:val="20"/>
          <w:szCs w:val="20"/>
        </w:rPr>
      </w:pPr>
      <w:r w:rsidRPr="005D7234">
        <w:rPr>
          <w:rFonts w:cstheme="minorHAnsi"/>
          <w:sz w:val="20"/>
          <w:szCs w:val="20"/>
        </w:rPr>
        <w:t xml:space="preserve">At a whole school </w:t>
      </w:r>
      <w:proofErr w:type="gramStart"/>
      <w:r w:rsidRPr="005D7234">
        <w:rPr>
          <w:rFonts w:cstheme="minorHAnsi"/>
          <w:sz w:val="20"/>
          <w:szCs w:val="20"/>
        </w:rPr>
        <w:t>level</w:t>
      </w:r>
      <w:proofErr w:type="gramEnd"/>
      <w:r w:rsidRPr="005D7234">
        <w:rPr>
          <w:rFonts w:cstheme="minorHAnsi"/>
          <w:sz w:val="20"/>
          <w:szCs w:val="20"/>
        </w:rPr>
        <w:t xml:space="preserve"> the use of </w:t>
      </w:r>
      <w:proofErr w:type="spellStart"/>
      <w:r w:rsidRPr="005D7234">
        <w:rPr>
          <w:rFonts w:cstheme="minorHAnsi"/>
          <w:sz w:val="20"/>
          <w:szCs w:val="20"/>
        </w:rPr>
        <w:t>Lexonics</w:t>
      </w:r>
      <w:proofErr w:type="spellEnd"/>
      <w:r w:rsidRPr="005D7234">
        <w:rPr>
          <w:rFonts w:cstheme="minorHAnsi"/>
          <w:sz w:val="20"/>
          <w:szCs w:val="20"/>
        </w:rPr>
        <w:t xml:space="preserve"> is</w:t>
      </w:r>
      <w:r w:rsidR="008F76EB" w:rsidRPr="005D7234">
        <w:rPr>
          <w:rFonts w:cstheme="minorHAnsi"/>
          <w:sz w:val="20"/>
          <w:szCs w:val="20"/>
        </w:rPr>
        <w:t xml:space="preserve"> </w:t>
      </w:r>
      <w:r w:rsidRPr="005D7234">
        <w:rPr>
          <w:rFonts w:cstheme="minorHAnsi"/>
          <w:sz w:val="20"/>
          <w:szCs w:val="20"/>
        </w:rPr>
        <w:t xml:space="preserve">used to enable students to </w:t>
      </w:r>
      <w:r w:rsidR="008F76EB" w:rsidRPr="005D7234">
        <w:rPr>
          <w:rFonts w:cstheme="minorHAnsi"/>
          <w:sz w:val="20"/>
          <w:szCs w:val="20"/>
        </w:rPr>
        <w:t xml:space="preserve">employ and transfer meaning across subjects. </w:t>
      </w:r>
    </w:p>
    <w:p w:rsidR="00082801" w:rsidRPr="005D7234" w:rsidRDefault="00841E3C" w:rsidP="00E54614">
      <w:pPr>
        <w:numPr>
          <w:ilvl w:val="0"/>
          <w:numId w:val="17"/>
        </w:numPr>
        <w:spacing w:after="200" w:line="276" w:lineRule="auto"/>
        <w:contextualSpacing/>
        <w:jc w:val="both"/>
        <w:rPr>
          <w:rFonts w:cstheme="minorHAnsi"/>
          <w:b/>
          <w:sz w:val="20"/>
          <w:szCs w:val="20"/>
          <w:u w:val="single"/>
        </w:rPr>
      </w:pPr>
      <w:r w:rsidRPr="005D7234">
        <w:rPr>
          <w:rFonts w:cstheme="minorHAnsi"/>
          <w:b/>
          <w:sz w:val="20"/>
          <w:szCs w:val="20"/>
          <w:u w:val="single"/>
        </w:rPr>
        <w:t xml:space="preserve">Subject content which is </w:t>
      </w:r>
      <w:r w:rsidRPr="005D7234">
        <w:rPr>
          <w:rFonts w:cstheme="minorHAnsi"/>
          <w:b/>
          <w:sz w:val="20"/>
          <w:szCs w:val="20"/>
          <w:u w:val="single"/>
          <w:lang w:val="en-US"/>
        </w:rPr>
        <w:t>Aspiring, Inspiring and ‘Real World Learning'</w:t>
      </w:r>
    </w:p>
    <w:p w:rsidR="00180422" w:rsidRPr="005D7234" w:rsidRDefault="00082801" w:rsidP="00180422">
      <w:pPr>
        <w:spacing w:after="200" w:line="276" w:lineRule="auto"/>
        <w:contextualSpacing/>
        <w:rPr>
          <w:rFonts w:cstheme="minorHAnsi"/>
          <w:sz w:val="20"/>
          <w:szCs w:val="20"/>
        </w:rPr>
      </w:pPr>
      <w:r w:rsidRPr="005D7234">
        <w:rPr>
          <w:rFonts w:cstheme="minorHAnsi"/>
          <w:sz w:val="20"/>
          <w:szCs w:val="20"/>
        </w:rPr>
        <w:t xml:space="preserve">Within science lessons, we have developed engaging, what we term ‘hinterland’ lessons. </w:t>
      </w:r>
      <w:r w:rsidRPr="005D7234">
        <w:rPr>
          <w:rFonts w:cstheme="minorHAnsi"/>
          <w:sz w:val="20"/>
          <w:szCs w:val="20"/>
          <w:lang w:val="en"/>
        </w:rPr>
        <w:t>“Hinterland” refers to the supporting details, the examples, anecdotes and experiments that students don’t need to remember accurately, but that furnish the richness of their understanding and contribute to the building of knowledge. Across the key stages, examples of such inspiration and aspiration</w:t>
      </w:r>
      <w:r w:rsidR="00180422" w:rsidRPr="005D7234">
        <w:rPr>
          <w:rFonts w:cstheme="minorHAnsi"/>
          <w:sz w:val="20"/>
          <w:szCs w:val="20"/>
          <w:lang w:val="en"/>
        </w:rPr>
        <w:t xml:space="preserve"> may be in</w:t>
      </w:r>
      <w:r w:rsidRPr="005D7234">
        <w:rPr>
          <w:rFonts w:cstheme="minorHAnsi"/>
          <w:sz w:val="20"/>
          <w:szCs w:val="20"/>
          <w:lang w:val="en"/>
        </w:rPr>
        <w:t xml:space="preserve"> the story of </w:t>
      </w:r>
      <w:r w:rsidR="00180422" w:rsidRPr="005D7234">
        <w:rPr>
          <w:rFonts w:cstheme="minorHAnsi"/>
          <w:sz w:val="20"/>
          <w:szCs w:val="20"/>
          <w:lang w:val="en"/>
        </w:rPr>
        <w:t xml:space="preserve">Alexander </w:t>
      </w:r>
      <w:r w:rsidRPr="005D7234">
        <w:rPr>
          <w:rFonts w:cstheme="minorHAnsi"/>
          <w:sz w:val="20"/>
          <w:szCs w:val="20"/>
          <w:lang w:val="en"/>
        </w:rPr>
        <w:t>Fleming’s cha</w:t>
      </w:r>
      <w:r w:rsidR="00180422" w:rsidRPr="005D7234">
        <w:rPr>
          <w:rFonts w:cstheme="minorHAnsi"/>
          <w:sz w:val="20"/>
          <w:szCs w:val="20"/>
          <w:lang w:val="en"/>
        </w:rPr>
        <w:t xml:space="preserve">nce discovery of Penicillin or </w:t>
      </w:r>
      <w:r w:rsidR="00180422" w:rsidRPr="005D7234">
        <w:rPr>
          <w:rFonts w:cstheme="minorHAnsi"/>
          <w:sz w:val="20"/>
          <w:szCs w:val="20"/>
        </w:rPr>
        <w:t xml:space="preserve">when Edward Jenner created the first vaccine. Real world learning may be delivered following lessons on the use of </w:t>
      </w:r>
      <w:r w:rsidRPr="005D7234">
        <w:rPr>
          <w:rFonts w:cstheme="minorHAnsi"/>
          <w:sz w:val="20"/>
          <w:szCs w:val="20"/>
        </w:rPr>
        <w:t>anta</w:t>
      </w:r>
      <w:r w:rsidR="00180422" w:rsidRPr="005D7234">
        <w:rPr>
          <w:rFonts w:cstheme="minorHAnsi"/>
          <w:sz w:val="20"/>
          <w:szCs w:val="20"/>
        </w:rPr>
        <w:t xml:space="preserve">cid tablets within acids and alkalis or via the </w:t>
      </w:r>
      <w:r w:rsidR="00180422" w:rsidRPr="005D7234">
        <w:rPr>
          <w:rFonts w:cstheme="minorHAnsi"/>
          <w:sz w:val="20"/>
          <w:szCs w:val="20"/>
        </w:rPr>
        <w:lastRenderedPageBreak/>
        <w:t>teaching of r</w:t>
      </w:r>
      <w:r w:rsidRPr="005D7234">
        <w:rPr>
          <w:rFonts w:cstheme="minorHAnsi"/>
          <w:sz w:val="20"/>
          <w:szCs w:val="20"/>
        </w:rPr>
        <w:t>ail</w:t>
      </w:r>
      <w:r w:rsidR="00180422" w:rsidRPr="005D7234">
        <w:rPr>
          <w:rFonts w:cstheme="minorHAnsi"/>
          <w:sz w:val="20"/>
          <w:szCs w:val="20"/>
        </w:rPr>
        <w:t>way welding and the t</w:t>
      </w:r>
      <w:r w:rsidRPr="005D7234">
        <w:rPr>
          <w:rFonts w:cstheme="minorHAnsi"/>
          <w:sz w:val="20"/>
          <w:szCs w:val="20"/>
        </w:rPr>
        <w:t>hermite</w:t>
      </w:r>
      <w:r w:rsidR="00180422" w:rsidRPr="005D7234">
        <w:rPr>
          <w:rFonts w:cstheme="minorHAnsi"/>
          <w:sz w:val="20"/>
          <w:szCs w:val="20"/>
        </w:rPr>
        <w:t xml:space="preserve"> reaction. Hinterland lessons are varied, but as regular as they can be, engagement of pupils being key to this.</w:t>
      </w:r>
    </w:p>
    <w:p w:rsidR="00287B4A" w:rsidRPr="005D7234" w:rsidRDefault="00287B4A" w:rsidP="00180422">
      <w:pPr>
        <w:spacing w:after="200" w:line="276" w:lineRule="auto"/>
        <w:contextualSpacing/>
        <w:rPr>
          <w:rFonts w:cstheme="minorHAnsi"/>
          <w:sz w:val="20"/>
          <w:szCs w:val="20"/>
        </w:rPr>
      </w:pPr>
    </w:p>
    <w:p w:rsidR="00082801" w:rsidRPr="005D7234" w:rsidRDefault="00180422" w:rsidP="00C33C9E">
      <w:pPr>
        <w:spacing w:after="200" w:line="276" w:lineRule="auto"/>
        <w:contextualSpacing/>
        <w:rPr>
          <w:rFonts w:cstheme="minorHAnsi"/>
          <w:sz w:val="20"/>
          <w:szCs w:val="20"/>
        </w:rPr>
      </w:pPr>
      <w:r w:rsidRPr="005D7234">
        <w:rPr>
          <w:rFonts w:cstheme="minorHAnsi"/>
          <w:sz w:val="20"/>
          <w:szCs w:val="20"/>
        </w:rPr>
        <w:t>Within science we have some l</w:t>
      </w:r>
      <w:r w:rsidR="00082801" w:rsidRPr="005D7234">
        <w:rPr>
          <w:rFonts w:cstheme="minorHAnsi"/>
          <w:sz w:val="20"/>
          <w:szCs w:val="20"/>
        </w:rPr>
        <w:t xml:space="preserve">ocal links to science </w:t>
      </w:r>
      <w:r w:rsidRPr="005D7234">
        <w:rPr>
          <w:rFonts w:cstheme="minorHAnsi"/>
          <w:sz w:val="20"/>
          <w:szCs w:val="20"/>
        </w:rPr>
        <w:t>and do take part in a variety of STEM based projects. In recent years we have collaborated with United Utilities, Unilever and</w:t>
      </w:r>
      <w:r w:rsidR="00082801" w:rsidRPr="005D7234">
        <w:rPr>
          <w:rFonts w:cstheme="minorHAnsi"/>
          <w:sz w:val="20"/>
          <w:szCs w:val="20"/>
        </w:rPr>
        <w:t xml:space="preserve"> Solvay</w:t>
      </w:r>
      <w:r w:rsidR="00287B4A" w:rsidRPr="005D7234">
        <w:rPr>
          <w:rFonts w:cstheme="minorHAnsi"/>
          <w:sz w:val="20"/>
          <w:szCs w:val="20"/>
        </w:rPr>
        <w:t xml:space="preserve"> that</w:t>
      </w:r>
      <w:r w:rsidRPr="005D7234">
        <w:rPr>
          <w:rFonts w:cstheme="minorHAnsi"/>
          <w:sz w:val="20"/>
          <w:szCs w:val="20"/>
        </w:rPr>
        <w:t xml:space="preserve"> offer STEM </w:t>
      </w:r>
      <w:r w:rsidR="00287B4A" w:rsidRPr="005D7234">
        <w:rPr>
          <w:rFonts w:cstheme="minorHAnsi"/>
          <w:sz w:val="20"/>
          <w:szCs w:val="20"/>
        </w:rPr>
        <w:t xml:space="preserve">based </w:t>
      </w:r>
      <w:r w:rsidRPr="005D7234">
        <w:rPr>
          <w:rFonts w:cstheme="minorHAnsi"/>
          <w:sz w:val="20"/>
          <w:szCs w:val="20"/>
        </w:rPr>
        <w:t>projects.</w:t>
      </w:r>
      <w:r w:rsidR="004D5AAC" w:rsidRPr="005D7234">
        <w:rPr>
          <w:rFonts w:cstheme="minorHAnsi"/>
          <w:sz w:val="20"/>
          <w:szCs w:val="20"/>
        </w:rPr>
        <w:t xml:space="preserve"> </w:t>
      </w:r>
      <w:r w:rsidRPr="005D7234">
        <w:rPr>
          <w:rFonts w:cstheme="minorHAnsi"/>
          <w:sz w:val="20"/>
          <w:szCs w:val="20"/>
        </w:rPr>
        <w:t xml:space="preserve">Enriching experiences within science and embedded within programmes of study are </w:t>
      </w:r>
      <w:r w:rsidR="00287B4A" w:rsidRPr="005D7234">
        <w:rPr>
          <w:rFonts w:cstheme="minorHAnsi"/>
          <w:sz w:val="20"/>
          <w:szCs w:val="20"/>
        </w:rPr>
        <w:t xml:space="preserve">also </w:t>
      </w:r>
      <w:r w:rsidR="00C33C9E" w:rsidRPr="005D7234">
        <w:rPr>
          <w:rFonts w:cstheme="minorHAnsi"/>
          <w:sz w:val="20"/>
          <w:szCs w:val="20"/>
        </w:rPr>
        <w:t xml:space="preserve">annual visits to </w:t>
      </w:r>
      <w:r w:rsidR="00287B4A" w:rsidRPr="005D7234">
        <w:rPr>
          <w:rFonts w:cstheme="minorHAnsi"/>
          <w:sz w:val="20"/>
          <w:szCs w:val="20"/>
        </w:rPr>
        <w:t>Chester Zoo</w:t>
      </w:r>
      <w:r w:rsidR="002C2334" w:rsidRPr="005D7234">
        <w:rPr>
          <w:rFonts w:cstheme="minorHAnsi"/>
          <w:sz w:val="20"/>
          <w:szCs w:val="20"/>
        </w:rPr>
        <w:t>, Daresbury laboratories, Jodrell bank and</w:t>
      </w:r>
      <w:r w:rsidR="00C33C9E" w:rsidRPr="005D7234">
        <w:rPr>
          <w:rFonts w:cstheme="minorHAnsi"/>
          <w:sz w:val="20"/>
          <w:szCs w:val="20"/>
        </w:rPr>
        <w:t xml:space="preserve"> All About Stem’s ‘</w:t>
      </w:r>
      <w:r w:rsidR="00287B4A" w:rsidRPr="005D7234">
        <w:rPr>
          <w:rFonts w:cstheme="minorHAnsi"/>
          <w:sz w:val="20"/>
          <w:szCs w:val="20"/>
        </w:rPr>
        <w:t xml:space="preserve">Big Bang fair. Year on year, the science faculty aims to enrich the science education of our pupils by seeking out and participating in the variety of </w:t>
      </w:r>
      <w:proofErr w:type="gramStart"/>
      <w:r w:rsidR="00287B4A" w:rsidRPr="005D7234">
        <w:rPr>
          <w:rFonts w:cstheme="minorHAnsi"/>
          <w:sz w:val="20"/>
          <w:szCs w:val="20"/>
        </w:rPr>
        <w:t>science based</w:t>
      </w:r>
      <w:proofErr w:type="gramEnd"/>
      <w:r w:rsidR="00287B4A" w:rsidRPr="005D7234">
        <w:rPr>
          <w:rFonts w:cstheme="minorHAnsi"/>
          <w:sz w:val="20"/>
          <w:szCs w:val="20"/>
        </w:rPr>
        <w:t xml:space="preserve"> enrichment our local area has to offer.</w:t>
      </w:r>
    </w:p>
    <w:p w:rsidR="00082801" w:rsidRPr="005D7234" w:rsidRDefault="00082801" w:rsidP="00082801">
      <w:pPr>
        <w:spacing w:after="200" w:line="276" w:lineRule="auto"/>
        <w:contextualSpacing/>
        <w:jc w:val="both"/>
        <w:rPr>
          <w:rFonts w:cstheme="minorHAnsi"/>
          <w:b/>
          <w:sz w:val="20"/>
          <w:szCs w:val="20"/>
          <w:u w:val="single"/>
        </w:rPr>
      </w:pPr>
    </w:p>
    <w:p w:rsidR="002C2334" w:rsidRPr="005D7234" w:rsidRDefault="008F76EB" w:rsidP="00E54614">
      <w:pPr>
        <w:numPr>
          <w:ilvl w:val="0"/>
          <w:numId w:val="17"/>
        </w:numPr>
        <w:spacing w:after="200" w:line="276" w:lineRule="auto"/>
        <w:contextualSpacing/>
        <w:rPr>
          <w:rFonts w:cstheme="minorHAnsi"/>
          <w:b/>
          <w:sz w:val="20"/>
          <w:szCs w:val="20"/>
          <w:u w:val="single"/>
        </w:rPr>
      </w:pPr>
      <w:r w:rsidRPr="005D7234">
        <w:rPr>
          <w:rFonts w:cstheme="minorHAnsi"/>
          <w:b/>
          <w:sz w:val="20"/>
          <w:szCs w:val="20"/>
          <w:u w:val="single"/>
        </w:rPr>
        <w:t>Memory and Cognition</w:t>
      </w:r>
    </w:p>
    <w:p w:rsidR="0054316F" w:rsidRPr="005D7234" w:rsidRDefault="0074329A" w:rsidP="0054316F">
      <w:pPr>
        <w:jc w:val="both"/>
        <w:rPr>
          <w:rFonts w:cstheme="minorHAnsi"/>
          <w:sz w:val="20"/>
          <w:szCs w:val="20"/>
        </w:rPr>
      </w:pPr>
      <w:r w:rsidRPr="005D7234">
        <w:rPr>
          <w:rFonts w:cstheme="minorHAnsi"/>
          <w:sz w:val="20"/>
          <w:szCs w:val="20"/>
        </w:rPr>
        <w:t xml:space="preserve">Within science, regular retrieval of previous content and knowledge is typical in many lessons. Retrieval is encouraged in a low stakes fashion and may include the use of variety of resources from retrieval roulettes, quick quizzes or simple recall from knowledge organisers. We aim to reduce cognitive load that cannot be avoided in higher level questions by developing ease of recall in our learners so that working memory can be applied to the question being asked. From lesson to lesson, typical lessons may show ‘spaced practice’- content re-visited that was taught previously; Interleaving- cross topic references and teaching; Modelled examples- concrete display of </w:t>
      </w:r>
      <w:r w:rsidR="0054316F" w:rsidRPr="005D7234">
        <w:rPr>
          <w:rFonts w:cstheme="minorHAnsi"/>
          <w:sz w:val="20"/>
          <w:szCs w:val="20"/>
        </w:rPr>
        <w:t>approach to a problem or question and Dual coding- integrated images and writing to enhance learning</w:t>
      </w:r>
      <w:r w:rsidR="004D5AAC" w:rsidRPr="005D7234">
        <w:rPr>
          <w:rFonts w:cstheme="minorHAnsi"/>
          <w:sz w:val="20"/>
          <w:szCs w:val="20"/>
        </w:rPr>
        <w:t>, offering reduction in extraneous load (CLT)</w:t>
      </w:r>
      <w:r w:rsidR="0054316F" w:rsidRPr="005D7234">
        <w:rPr>
          <w:rFonts w:cstheme="minorHAnsi"/>
          <w:sz w:val="20"/>
          <w:szCs w:val="20"/>
        </w:rPr>
        <w:t xml:space="preserve">. All </w:t>
      </w:r>
      <w:r w:rsidR="004D5AAC" w:rsidRPr="005D7234">
        <w:rPr>
          <w:rFonts w:cstheme="minorHAnsi"/>
          <w:sz w:val="20"/>
          <w:szCs w:val="20"/>
        </w:rPr>
        <w:t xml:space="preserve">learning </w:t>
      </w:r>
      <w:r w:rsidR="0054316F" w:rsidRPr="005D7234">
        <w:rPr>
          <w:rFonts w:cstheme="minorHAnsi"/>
          <w:sz w:val="20"/>
          <w:szCs w:val="20"/>
        </w:rPr>
        <w:t>strategies within science continue to be d</w:t>
      </w:r>
      <w:r w:rsidR="004D5AAC" w:rsidRPr="005D7234">
        <w:rPr>
          <w:rFonts w:cstheme="minorHAnsi"/>
          <w:sz w:val="20"/>
          <w:szCs w:val="20"/>
        </w:rPr>
        <w:t>eveloped and are integr</w:t>
      </w:r>
      <w:r w:rsidR="0054316F" w:rsidRPr="005D7234">
        <w:rPr>
          <w:rFonts w:cstheme="minorHAnsi"/>
          <w:sz w:val="20"/>
          <w:szCs w:val="20"/>
        </w:rPr>
        <w:t xml:space="preserve">al at </w:t>
      </w:r>
      <w:r w:rsidR="004D5AAC" w:rsidRPr="005D7234">
        <w:rPr>
          <w:rFonts w:cstheme="minorHAnsi"/>
          <w:sz w:val="20"/>
          <w:szCs w:val="20"/>
        </w:rPr>
        <w:t>reducing cognitive loa</w:t>
      </w:r>
      <w:r w:rsidR="0054316F" w:rsidRPr="005D7234">
        <w:rPr>
          <w:rFonts w:cstheme="minorHAnsi"/>
          <w:sz w:val="20"/>
          <w:szCs w:val="20"/>
        </w:rPr>
        <w:t xml:space="preserve">d for pupils whilst learning and therefore increasing the chances of ‘learning’ taking place. Alongside teacher practice, is the teaching of pupils </w:t>
      </w:r>
      <w:r w:rsidR="0054316F" w:rsidRPr="005D7234">
        <w:rPr>
          <w:rFonts w:cstheme="minorHAnsi"/>
          <w:sz w:val="20"/>
          <w:szCs w:val="20"/>
          <w:u w:val="single"/>
        </w:rPr>
        <w:t>why</w:t>
      </w:r>
      <w:r w:rsidR="0054316F" w:rsidRPr="005D7234">
        <w:rPr>
          <w:rFonts w:cstheme="minorHAnsi"/>
          <w:sz w:val="20"/>
          <w:szCs w:val="20"/>
        </w:rPr>
        <w:t xml:space="preserve"> such techniques are important to their learning and therefore a large contribution to pupil metacognition.</w:t>
      </w:r>
    </w:p>
    <w:p w:rsidR="008F76EB" w:rsidRPr="005D7234" w:rsidRDefault="008F76EB" w:rsidP="0072790A">
      <w:pPr>
        <w:pStyle w:val="ListParagraph"/>
        <w:numPr>
          <w:ilvl w:val="0"/>
          <w:numId w:val="17"/>
        </w:numPr>
        <w:jc w:val="both"/>
        <w:rPr>
          <w:rFonts w:cstheme="minorHAnsi"/>
          <w:sz w:val="20"/>
          <w:szCs w:val="20"/>
          <w:u w:val="single"/>
        </w:rPr>
      </w:pPr>
      <w:r w:rsidRPr="005D7234">
        <w:rPr>
          <w:rFonts w:cstheme="minorHAnsi"/>
          <w:b/>
          <w:sz w:val="20"/>
          <w:szCs w:val="20"/>
          <w:u w:val="single"/>
        </w:rPr>
        <w:t xml:space="preserve">Assessment: Desired outcomes and how they are measured. </w:t>
      </w:r>
    </w:p>
    <w:p w:rsidR="00171170" w:rsidRPr="005D7234" w:rsidRDefault="004D5AAC" w:rsidP="00171170">
      <w:pPr>
        <w:contextualSpacing/>
        <w:jc w:val="both"/>
        <w:rPr>
          <w:rFonts w:cstheme="minorHAnsi"/>
          <w:sz w:val="20"/>
          <w:szCs w:val="20"/>
        </w:rPr>
      </w:pPr>
      <w:r w:rsidRPr="005D7234">
        <w:rPr>
          <w:rFonts w:cstheme="minorHAnsi"/>
          <w:sz w:val="20"/>
          <w:szCs w:val="20"/>
        </w:rPr>
        <w:t>The assessment of science knowledge and skills across KS3 and KS4 takes the form of common form</w:t>
      </w:r>
      <w:r w:rsidR="00171170" w:rsidRPr="005D7234">
        <w:rPr>
          <w:rFonts w:cstheme="minorHAnsi"/>
          <w:sz w:val="20"/>
          <w:szCs w:val="20"/>
        </w:rPr>
        <w:t>ative and summative assessment practice. Formative assessment across both key stages shows typicality in plentiful questioning, low stakes quizzing during starters and plenaries, whole class marking with questions directed at common misconceptions which are then completed during DIRT and knowledge organiser learning homework. Summative assessment content aims to cover as much of the key stage learning end points as possible.</w:t>
      </w:r>
      <w:r w:rsidR="00C27B64" w:rsidRPr="005D7234">
        <w:rPr>
          <w:rFonts w:cstheme="minorHAnsi"/>
          <w:sz w:val="20"/>
          <w:szCs w:val="20"/>
        </w:rPr>
        <w:t xml:space="preserve"> Summative assessment is cumulative with a general rule of 25:75, old to new content. This encourages the concept of spaced practice and solidifies ‘learning’. Summative assessment design mirrors assessment objectives at GCSE and AWOL end point descriptors at KS3, but both key stage assessments challenge the ability to recall and apply content. At KS3 and KS4, summative assessment currently runs alongside termly whole school reporting and therefore consists of three or four yearly summative assessments. Such assessment if followed by a variety of DIRT tasks that aim to identify learning gaps for further teaching and learning and therefore re-assessment at a later date.</w:t>
      </w:r>
    </w:p>
    <w:p w:rsidR="00946098" w:rsidRPr="005D7234" w:rsidRDefault="00946098" w:rsidP="0072790A">
      <w:pPr>
        <w:contextualSpacing/>
        <w:jc w:val="both"/>
        <w:rPr>
          <w:rFonts w:cstheme="minorHAnsi"/>
          <w:sz w:val="20"/>
          <w:szCs w:val="20"/>
        </w:rPr>
      </w:pPr>
    </w:p>
    <w:p w:rsidR="00946098" w:rsidRPr="005D7234" w:rsidRDefault="00946098" w:rsidP="0072790A">
      <w:pPr>
        <w:contextualSpacing/>
        <w:jc w:val="both"/>
        <w:rPr>
          <w:rFonts w:cstheme="minorHAnsi"/>
          <w:sz w:val="20"/>
          <w:szCs w:val="20"/>
        </w:rPr>
      </w:pPr>
      <w:r w:rsidRPr="005D7234">
        <w:rPr>
          <w:rFonts w:cstheme="minorHAnsi"/>
          <w:sz w:val="20"/>
          <w:szCs w:val="20"/>
        </w:rPr>
        <w:t>Assessment as Bridgewater aims to:</w:t>
      </w:r>
    </w:p>
    <w:p w:rsidR="00946098" w:rsidRPr="005D7234" w:rsidRDefault="00946098" w:rsidP="005D7234">
      <w:pPr>
        <w:spacing w:after="0" w:line="20" w:lineRule="atLeast"/>
        <w:rPr>
          <w:rFonts w:eastAsia="Times New Roman" w:cstheme="minorHAnsi"/>
          <w:color w:val="393939"/>
          <w:sz w:val="20"/>
          <w:szCs w:val="20"/>
          <w:lang w:val="en" w:eastAsia="en-GB"/>
        </w:rPr>
      </w:pPr>
      <w:r w:rsidRPr="005D7234">
        <w:rPr>
          <w:rFonts w:eastAsia="Times New Roman" w:cstheme="minorHAnsi"/>
          <w:b/>
          <w:bCs/>
          <w:color w:val="393939"/>
          <w:sz w:val="20"/>
          <w:szCs w:val="20"/>
          <w:lang w:val="en" w:eastAsia="en-GB"/>
        </w:rPr>
        <w:t>i) Promotion of Learning</w:t>
      </w:r>
    </w:p>
    <w:p w:rsidR="00946098" w:rsidRPr="005D7234" w:rsidRDefault="00946098" w:rsidP="005D7234">
      <w:pPr>
        <w:spacing w:after="0" w:line="20" w:lineRule="atLeast"/>
        <w:rPr>
          <w:rFonts w:eastAsia="Times New Roman" w:cstheme="minorHAnsi"/>
          <w:color w:val="393939"/>
          <w:sz w:val="20"/>
          <w:szCs w:val="20"/>
          <w:lang w:val="en" w:eastAsia="en-GB"/>
        </w:rPr>
      </w:pPr>
      <w:r w:rsidRPr="005D7234">
        <w:rPr>
          <w:rFonts w:eastAsia="Times New Roman" w:cstheme="minorHAnsi"/>
          <w:b/>
          <w:bCs/>
          <w:color w:val="393939"/>
          <w:sz w:val="20"/>
          <w:szCs w:val="20"/>
          <w:lang w:val="en" w:eastAsia="en-GB"/>
        </w:rPr>
        <w:t>ii) Informs teaching</w:t>
      </w:r>
    </w:p>
    <w:p w:rsidR="00946098" w:rsidRPr="005D7234" w:rsidRDefault="00946098" w:rsidP="005D7234">
      <w:pPr>
        <w:spacing w:after="0" w:line="20" w:lineRule="atLeast"/>
        <w:rPr>
          <w:rFonts w:eastAsia="Times New Roman" w:cstheme="minorHAnsi"/>
          <w:color w:val="393939"/>
          <w:sz w:val="20"/>
          <w:szCs w:val="20"/>
          <w:lang w:val="en" w:eastAsia="en-GB"/>
        </w:rPr>
      </w:pPr>
      <w:r w:rsidRPr="005D7234">
        <w:rPr>
          <w:rFonts w:eastAsia="Times New Roman" w:cstheme="minorHAnsi"/>
          <w:b/>
          <w:bCs/>
          <w:color w:val="393939"/>
          <w:sz w:val="20"/>
          <w:szCs w:val="20"/>
          <w:lang w:val="en" w:eastAsia="en-GB"/>
        </w:rPr>
        <w:t>iii) Is both formative and summative</w:t>
      </w:r>
    </w:p>
    <w:p w:rsidR="00946098" w:rsidRPr="005D7234" w:rsidRDefault="00946098" w:rsidP="005D7234">
      <w:pPr>
        <w:spacing w:after="0" w:line="20" w:lineRule="atLeast"/>
        <w:rPr>
          <w:rFonts w:eastAsia="Times New Roman" w:cstheme="minorHAnsi"/>
          <w:color w:val="393939"/>
          <w:sz w:val="20"/>
          <w:szCs w:val="20"/>
          <w:lang w:val="en" w:eastAsia="en-GB"/>
        </w:rPr>
      </w:pPr>
      <w:r w:rsidRPr="005D7234">
        <w:rPr>
          <w:rFonts w:eastAsia="Times New Roman" w:cstheme="minorHAnsi"/>
          <w:b/>
          <w:bCs/>
          <w:color w:val="393939"/>
          <w:sz w:val="20"/>
          <w:szCs w:val="20"/>
          <w:lang w:val="en" w:eastAsia="en-GB"/>
        </w:rPr>
        <w:t xml:space="preserve">iv) </w:t>
      </w:r>
      <w:proofErr w:type="spellStart"/>
      <w:r w:rsidRPr="005D7234">
        <w:rPr>
          <w:rFonts w:eastAsia="Times New Roman" w:cstheme="minorHAnsi"/>
          <w:b/>
          <w:bCs/>
          <w:color w:val="393939"/>
          <w:sz w:val="20"/>
          <w:szCs w:val="20"/>
          <w:lang w:val="en" w:eastAsia="en-GB"/>
        </w:rPr>
        <w:t>Recognises</w:t>
      </w:r>
      <w:proofErr w:type="spellEnd"/>
      <w:r w:rsidRPr="005D7234">
        <w:rPr>
          <w:rFonts w:eastAsia="Times New Roman" w:cstheme="minorHAnsi"/>
          <w:b/>
          <w:bCs/>
          <w:color w:val="393939"/>
          <w:sz w:val="20"/>
          <w:szCs w:val="20"/>
          <w:lang w:val="en" w:eastAsia="en-GB"/>
        </w:rPr>
        <w:t xml:space="preserve"> student progress and achievement</w:t>
      </w:r>
    </w:p>
    <w:p w:rsidR="00946098" w:rsidRPr="005D7234" w:rsidRDefault="00946098" w:rsidP="0072790A">
      <w:pPr>
        <w:contextualSpacing/>
        <w:jc w:val="both"/>
        <w:rPr>
          <w:rFonts w:cstheme="minorHAnsi"/>
          <w:sz w:val="20"/>
          <w:szCs w:val="20"/>
        </w:rPr>
      </w:pPr>
    </w:p>
    <w:p w:rsidR="008F76EB" w:rsidRPr="005D7234" w:rsidRDefault="008F76EB" w:rsidP="0072790A">
      <w:pPr>
        <w:contextualSpacing/>
        <w:jc w:val="both"/>
        <w:rPr>
          <w:rFonts w:cstheme="minorHAnsi"/>
          <w:b/>
          <w:color w:val="00B0F0"/>
          <w:sz w:val="20"/>
          <w:szCs w:val="20"/>
        </w:rPr>
      </w:pPr>
      <w:r w:rsidRPr="005D7234">
        <w:rPr>
          <w:rFonts w:cstheme="minorHAnsi"/>
          <w:b/>
          <w:color w:val="00B0F0"/>
          <w:sz w:val="20"/>
          <w:szCs w:val="20"/>
        </w:rPr>
        <w:t xml:space="preserve">Class Level. </w:t>
      </w:r>
    </w:p>
    <w:p w:rsidR="008F76EB" w:rsidRPr="005D7234" w:rsidRDefault="008F76EB" w:rsidP="0072790A">
      <w:pPr>
        <w:contextualSpacing/>
        <w:jc w:val="both"/>
        <w:rPr>
          <w:rFonts w:cstheme="minorHAnsi"/>
          <w:color w:val="00B0F0"/>
          <w:sz w:val="20"/>
          <w:szCs w:val="20"/>
        </w:rPr>
      </w:pPr>
      <w:r w:rsidRPr="005D7234">
        <w:rPr>
          <w:rFonts w:cstheme="minorHAnsi"/>
          <w:color w:val="00B0F0"/>
          <w:sz w:val="20"/>
          <w:szCs w:val="20"/>
        </w:rPr>
        <w:t xml:space="preserve">At class level students are assessed through the following strategies: </w:t>
      </w:r>
    </w:p>
    <w:p w:rsidR="00946098" w:rsidRPr="005D7234" w:rsidRDefault="00946098"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Daily recap quizzing</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Targeted questioning. (no hands up)</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Hinge questions</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Low stakes testing</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Peer to peer quizzing</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Self-quizzing</w:t>
      </w:r>
    </w:p>
    <w:p w:rsidR="008F76EB" w:rsidRPr="005D7234" w:rsidRDefault="008F76EB"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 xml:space="preserve">Multiple choice questions </w:t>
      </w:r>
    </w:p>
    <w:p w:rsidR="0087281C" w:rsidRPr="005D7234" w:rsidRDefault="0087281C" w:rsidP="0072790A">
      <w:pPr>
        <w:numPr>
          <w:ilvl w:val="0"/>
          <w:numId w:val="18"/>
        </w:numPr>
        <w:spacing w:after="200" w:line="276" w:lineRule="auto"/>
        <w:ind w:left="720"/>
        <w:contextualSpacing/>
        <w:jc w:val="both"/>
        <w:rPr>
          <w:rFonts w:cstheme="minorHAnsi"/>
          <w:color w:val="00B0F0"/>
          <w:sz w:val="20"/>
          <w:szCs w:val="20"/>
        </w:rPr>
      </w:pPr>
      <w:r w:rsidRPr="005D7234">
        <w:rPr>
          <w:rFonts w:cstheme="minorHAnsi"/>
          <w:color w:val="00B0F0"/>
          <w:sz w:val="20"/>
          <w:szCs w:val="20"/>
        </w:rPr>
        <w:t>Quality Mark Assessment (</w:t>
      </w:r>
      <w:r w:rsidR="00946098" w:rsidRPr="005D7234">
        <w:rPr>
          <w:rFonts w:eastAsia="Times New Roman" w:cstheme="minorHAnsi"/>
          <w:b/>
          <w:bCs/>
          <w:color w:val="393939"/>
          <w:sz w:val="20"/>
          <w:szCs w:val="20"/>
          <w:lang w:val="en" w:eastAsia="en-GB"/>
        </w:rPr>
        <w:t>Application tasks</w:t>
      </w:r>
      <w:r w:rsidRPr="005D7234">
        <w:rPr>
          <w:rFonts w:cstheme="minorHAnsi"/>
          <w:color w:val="00B0F0"/>
          <w:sz w:val="20"/>
          <w:szCs w:val="20"/>
        </w:rPr>
        <w:t>)</w:t>
      </w:r>
    </w:p>
    <w:p w:rsidR="008F76EB" w:rsidRPr="005D7234" w:rsidRDefault="008F76EB" w:rsidP="0072790A">
      <w:pPr>
        <w:contextualSpacing/>
        <w:jc w:val="both"/>
        <w:rPr>
          <w:rFonts w:cstheme="minorHAnsi"/>
          <w:b/>
          <w:color w:val="00B0F0"/>
          <w:sz w:val="20"/>
          <w:szCs w:val="20"/>
        </w:rPr>
      </w:pPr>
    </w:p>
    <w:p w:rsidR="0087281C" w:rsidRPr="005D7234" w:rsidRDefault="008F76EB" w:rsidP="0087281C">
      <w:pPr>
        <w:contextualSpacing/>
        <w:jc w:val="both"/>
        <w:rPr>
          <w:rFonts w:cstheme="minorHAnsi"/>
          <w:b/>
          <w:color w:val="FF0000"/>
          <w:sz w:val="20"/>
          <w:szCs w:val="20"/>
        </w:rPr>
      </w:pPr>
      <w:r w:rsidRPr="005D7234">
        <w:rPr>
          <w:rFonts w:cstheme="minorHAnsi"/>
          <w:b/>
          <w:color w:val="FF0000"/>
          <w:sz w:val="20"/>
          <w:szCs w:val="20"/>
        </w:rPr>
        <w:t>School Level</w:t>
      </w:r>
    </w:p>
    <w:p w:rsidR="0072790A" w:rsidRPr="005D7234" w:rsidRDefault="00FB28BB" w:rsidP="0087281C">
      <w:pPr>
        <w:contextualSpacing/>
        <w:jc w:val="both"/>
        <w:rPr>
          <w:rFonts w:cstheme="minorHAnsi"/>
          <w:sz w:val="20"/>
          <w:szCs w:val="20"/>
        </w:rPr>
      </w:pPr>
      <w:r w:rsidRPr="005D7234">
        <w:rPr>
          <w:rFonts w:cstheme="minorHAnsi"/>
          <w:sz w:val="20"/>
          <w:szCs w:val="20"/>
        </w:rPr>
        <w:t xml:space="preserve">Whole school/year assessment points are planned as the best fit to support learning, in a manner which is year group specific.  Whole school assessment is not </w:t>
      </w:r>
      <w:r w:rsidR="0072790A" w:rsidRPr="005D7234">
        <w:rPr>
          <w:rFonts w:cstheme="minorHAnsi"/>
          <w:sz w:val="20"/>
          <w:szCs w:val="20"/>
        </w:rPr>
        <w:t>tail wags the curriculum dog.</w:t>
      </w:r>
    </w:p>
    <w:p w:rsidR="008F76EB" w:rsidRPr="005D7234" w:rsidRDefault="00E46F90" w:rsidP="0072790A">
      <w:pPr>
        <w:pStyle w:val="NormalWeb"/>
        <w:spacing w:line="360" w:lineRule="atLeast"/>
        <w:rPr>
          <w:rFonts w:asciiTheme="minorHAnsi" w:hAnsiTheme="minorHAnsi" w:cstheme="minorHAnsi"/>
          <w:color w:val="FF0000"/>
          <w:sz w:val="20"/>
          <w:szCs w:val="20"/>
        </w:rPr>
      </w:pPr>
      <w:r w:rsidRPr="005D7234">
        <w:rPr>
          <w:rFonts w:asciiTheme="minorHAnsi" w:hAnsiTheme="minorHAnsi" w:cstheme="minorHAnsi"/>
          <w:color w:val="FF0000"/>
          <w:sz w:val="20"/>
          <w:szCs w:val="20"/>
        </w:rPr>
        <w:t xml:space="preserve">KS4 </w:t>
      </w:r>
      <w:r w:rsidR="008F76EB" w:rsidRPr="005D7234">
        <w:rPr>
          <w:rFonts w:asciiTheme="minorHAnsi" w:hAnsiTheme="minorHAnsi" w:cstheme="minorHAnsi"/>
          <w:color w:val="FF0000"/>
          <w:sz w:val="20"/>
          <w:szCs w:val="20"/>
        </w:rPr>
        <w:t>Formal standardise</w:t>
      </w:r>
      <w:r w:rsidRPr="005D7234">
        <w:rPr>
          <w:rFonts w:asciiTheme="minorHAnsi" w:hAnsiTheme="minorHAnsi" w:cstheme="minorHAnsi"/>
          <w:color w:val="FF0000"/>
          <w:sz w:val="20"/>
          <w:szCs w:val="20"/>
        </w:rPr>
        <w:t>d pre-public exams twice a year.</w:t>
      </w:r>
    </w:p>
    <w:p w:rsidR="008F76EB" w:rsidRPr="005D7234" w:rsidRDefault="00E46F90" w:rsidP="0072790A">
      <w:pPr>
        <w:spacing w:after="200" w:line="276" w:lineRule="auto"/>
        <w:ind w:left="-720" w:firstLine="720"/>
        <w:contextualSpacing/>
        <w:jc w:val="both"/>
        <w:rPr>
          <w:rFonts w:cstheme="minorHAnsi"/>
          <w:color w:val="FF0000"/>
          <w:sz w:val="20"/>
          <w:szCs w:val="20"/>
        </w:rPr>
      </w:pPr>
      <w:r w:rsidRPr="005D7234">
        <w:rPr>
          <w:rFonts w:cstheme="minorHAnsi"/>
          <w:color w:val="FF0000"/>
          <w:sz w:val="20"/>
          <w:szCs w:val="20"/>
        </w:rPr>
        <w:t xml:space="preserve">KS3 </w:t>
      </w:r>
      <w:r w:rsidR="008F76EB" w:rsidRPr="005D7234">
        <w:rPr>
          <w:rFonts w:cstheme="minorHAnsi"/>
          <w:color w:val="FF0000"/>
          <w:sz w:val="20"/>
          <w:szCs w:val="20"/>
        </w:rPr>
        <w:t xml:space="preserve">Formal examination style testing </w:t>
      </w:r>
      <w:r w:rsidRPr="005D7234">
        <w:rPr>
          <w:rFonts w:cstheme="minorHAnsi"/>
          <w:color w:val="FF0000"/>
          <w:sz w:val="20"/>
          <w:szCs w:val="20"/>
        </w:rPr>
        <w:t xml:space="preserve">based on retrieval of information throughout the </w:t>
      </w:r>
      <w:r w:rsidR="0087281C" w:rsidRPr="005D7234">
        <w:rPr>
          <w:rFonts w:cstheme="minorHAnsi"/>
          <w:color w:val="FF0000"/>
          <w:sz w:val="20"/>
          <w:szCs w:val="20"/>
        </w:rPr>
        <w:t>key stage</w:t>
      </w:r>
      <w:r w:rsidR="008F76EB" w:rsidRPr="005D7234">
        <w:rPr>
          <w:rFonts w:cstheme="minorHAnsi"/>
          <w:color w:val="FF0000"/>
          <w:sz w:val="20"/>
          <w:szCs w:val="20"/>
        </w:rPr>
        <w:t>.</w:t>
      </w:r>
    </w:p>
    <w:p w:rsidR="00663D68" w:rsidRPr="005D7234" w:rsidRDefault="00663D68" w:rsidP="0072790A">
      <w:pPr>
        <w:spacing w:after="200" w:line="276" w:lineRule="auto"/>
        <w:ind w:left="-720" w:firstLine="720"/>
        <w:contextualSpacing/>
        <w:jc w:val="both"/>
        <w:rPr>
          <w:rFonts w:cstheme="minorHAnsi"/>
          <w:color w:val="FF0000"/>
          <w:sz w:val="20"/>
          <w:szCs w:val="20"/>
        </w:rPr>
      </w:pPr>
    </w:p>
    <w:sectPr w:rsidR="00663D68" w:rsidRPr="005D7234" w:rsidSect="005D7234">
      <w:pgSz w:w="11906" w:h="16838" w:code="9"/>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A5311"/>
    <w:multiLevelType w:val="hybridMultilevel"/>
    <w:tmpl w:val="4ED25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11407"/>
    <w:multiLevelType w:val="hybridMultilevel"/>
    <w:tmpl w:val="83908D5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762950"/>
    <w:multiLevelType w:val="hybridMultilevel"/>
    <w:tmpl w:val="16D436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A452ABF"/>
    <w:multiLevelType w:val="hybridMultilevel"/>
    <w:tmpl w:val="79E85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7A3941"/>
    <w:multiLevelType w:val="hybridMultilevel"/>
    <w:tmpl w:val="7C8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0"/>
  </w:num>
  <w:num w:numId="4">
    <w:abstractNumId w:val="17"/>
  </w:num>
  <w:num w:numId="5">
    <w:abstractNumId w:val="10"/>
  </w:num>
  <w:num w:numId="6">
    <w:abstractNumId w:val="21"/>
  </w:num>
  <w:num w:numId="7">
    <w:abstractNumId w:val="24"/>
  </w:num>
  <w:num w:numId="8">
    <w:abstractNumId w:val="4"/>
  </w:num>
  <w:num w:numId="9">
    <w:abstractNumId w:val="15"/>
  </w:num>
  <w:num w:numId="10">
    <w:abstractNumId w:val="11"/>
  </w:num>
  <w:num w:numId="11">
    <w:abstractNumId w:val="15"/>
  </w:num>
  <w:num w:numId="12">
    <w:abstractNumId w:val="16"/>
  </w:num>
  <w:num w:numId="13">
    <w:abstractNumId w:val="3"/>
  </w:num>
  <w:num w:numId="14">
    <w:abstractNumId w:val="27"/>
  </w:num>
  <w:num w:numId="15">
    <w:abstractNumId w:val="8"/>
  </w:num>
  <w:num w:numId="16">
    <w:abstractNumId w:val="5"/>
  </w:num>
  <w:num w:numId="17">
    <w:abstractNumId w:val="13"/>
  </w:num>
  <w:num w:numId="18">
    <w:abstractNumId w:val="29"/>
  </w:num>
  <w:num w:numId="19">
    <w:abstractNumId w:val="2"/>
  </w:num>
  <w:num w:numId="20">
    <w:abstractNumId w:val="22"/>
  </w:num>
  <w:num w:numId="21">
    <w:abstractNumId w:val="26"/>
  </w:num>
  <w:num w:numId="22">
    <w:abstractNumId w:val="12"/>
  </w:num>
  <w:num w:numId="23">
    <w:abstractNumId w:val="19"/>
  </w:num>
  <w:num w:numId="24">
    <w:abstractNumId w:val="14"/>
  </w:num>
  <w:num w:numId="25">
    <w:abstractNumId w:val="28"/>
  </w:num>
  <w:num w:numId="26">
    <w:abstractNumId w:val="6"/>
  </w:num>
  <w:num w:numId="27">
    <w:abstractNumId w:val="20"/>
  </w:num>
  <w:num w:numId="28">
    <w:abstractNumId w:val="1"/>
  </w:num>
  <w:num w:numId="29">
    <w:abstractNumId w:val="25"/>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2660E"/>
    <w:rsid w:val="00082801"/>
    <w:rsid w:val="000A15B3"/>
    <w:rsid w:val="000C39DE"/>
    <w:rsid w:val="00116110"/>
    <w:rsid w:val="00171170"/>
    <w:rsid w:val="00180422"/>
    <w:rsid w:val="00186E77"/>
    <w:rsid w:val="001A4023"/>
    <w:rsid w:val="001B0D38"/>
    <w:rsid w:val="001B35C4"/>
    <w:rsid w:val="001C4111"/>
    <w:rsid w:val="002027ED"/>
    <w:rsid w:val="00252C22"/>
    <w:rsid w:val="00256BA3"/>
    <w:rsid w:val="00287B4A"/>
    <w:rsid w:val="002B408F"/>
    <w:rsid w:val="002C2334"/>
    <w:rsid w:val="002D32A9"/>
    <w:rsid w:val="003021DB"/>
    <w:rsid w:val="00306A23"/>
    <w:rsid w:val="0034528B"/>
    <w:rsid w:val="0035712D"/>
    <w:rsid w:val="00387A52"/>
    <w:rsid w:val="003C069D"/>
    <w:rsid w:val="003C63E6"/>
    <w:rsid w:val="004758A4"/>
    <w:rsid w:val="0048755C"/>
    <w:rsid w:val="004A03BF"/>
    <w:rsid w:val="004B1DC5"/>
    <w:rsid w:val="004D5AAC"/>
    <w:rsid w:val="00533732"/>
    <w:rsid w:val="0054316F"/>
    <w:rsid w:val="0055458E"/>
    <w:rsid w:val="00583760"/>
    <w:rsid w:val="005B7292"/>
    <w:rsid w:val="005B75E0"/>
    <w:rsid w:val="005C244A"/>
    <w:rsid w:val="005D7234"/>
    <w:rsid w:val="00642921"/>
    <w:rsid w:val="00663D68"/>
    <w:rsid w:val="006855CD"/>
    <w:rsid w:val="00687C2A"/>
    <w:rsid w:val="00704A60"/>
    <w:rsid w:val="0072790A"/>
    <w:rsid w:val="0074329A"/>
    <w:rsid w:val="00746915"/>
    <w:rsid w:val="00755141"/>
    <w:rsid w:val="007726BA"/>
    <w:rsid w:val="007A252D"/>
    <w:rsid w:val="00841E3C"/>
    <w:rsid w:val="00846485"/>
    <w:rsid w:val="0085266F"/>
    <w:rsid w:val="008679A5"/>
    <w:rsid w:val="0087281C"/>
    <w:rsid w:val="0088057A"/>
    <w:rsid w:val="008918BB"/>
    <w:rsid w:val="008955CE"/>
    <w:rsid w:val="008E5F97"/>
    <w:rsid w:val="008F76EB"/>
    <w:rsid w:val="00914184"/>
    <w:rsid w:val="00946098"/>
    <w:rsid w:val="009574CB"/>
    <w:rsid w:val="00983E71"/>
    <w:rsid w:val="00986508"/>
    <w:rsid w:val="009D3382"/>
    <w:rsid w:val="00A40A24"/>
    <w:rsid w:val="00A45647"/>
    <w:rsid w:val="00A656AF"/>
    <w:rsid w:val="00A9624A"/>
    <w:rsid w:val="00AB3073"/>
    <w:rsid w:val="00AC44C3"/>
    <w:rsid w:val="00AE59F8"/>
    <w:rsid w:val="00B07542"/>
    <w:rsid w:val="00B54D87"/>
    <w:rsid w:val="00B80ABF"/>
    <w:rsid w:val="00B964A5"/>
    <w:rsid w:val="00BA1196"/>
    <w:rsid w:val="00C27B64"/>
    <w:rsid w:val="00C33C9E"/>
    <w:rsid w:val="00C719BB"/>
    <w:rsid w:val="00C74B9A"/>
    <w:rsid w:val="00CB2479"/>
    <w:rsid w:val="00D611C0"/>
    <w:rsid w:val="00DB56C2"/>
    <w:rsid w:val="00DC61CC"/>
    <w:rsid w:val="00E35B60"/>
    <w:rsid w:val="00E422F0"/>
    <w:rsid w:val="00E46F90"/>
    <w:rsid w:val="00E54614"/>
    <w:rsid w:val="00E82A15"/>
    <w:rsid w:val="00EE64B7"/>
    <w:rsid w:val="00F37BE9"/>
    <w:rsid w:val="00FB28BB"/>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421C"/>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 w:type="character" w:customStyle="1" w:styleId="normaltextrun">
    <w:name w:val="normaltextrun"/>
    <w:basedOn w:val="DefaultParagraphFont"/>
    <w:rsid w:val="000A15B3"/>
  </w:style>
  <w:style w:type="character" w:customStyle="1" w:styleId="eop">
    <w:name w:val="eop"/>
    <w:basedOn w:val="DefaultParagraphFont"/>
    <w:rsid w:val="000A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a:prstGeom prst="hexagon">
          <a:avLst>
            <a:gd name="adj" fmla="val 28570"/>
            <a:gd name="vf" fmla="val 115470"/>
          </a:avLst>
        </a:prstGeom>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8F6BCF5B-EECB-41D4-96D7-67208D0B2467}" type="presOf" srcId="{AC0F8BAF-07B9-4EA0-9346-D677D88AAFFB}" destId="{E31833F0-3A8A-44CA-B8FC-37ABD7E2D1B7}"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D2B55A66-2EB8-4715-8C86-BB30371F8088}" type="presOf" srcId="{F251A5F2-2099-46B3-BC49-E4D6DA2D962E}" destId="{D7029FED-4F85-440C-A86C-9AD547F41978}"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1F5FFAAA-1CD9-4FE6-A520-1B094B216084}" srcId="{001CB797-FFDA-4A9D-BCA6-5AE13F3B4025}" destId="{AC0F8BAF-07B9-4EA0-9346-D677D88AAFFB}" srcOrd="2" destOrd="0" parTransId="{0F7228E2-A79B-4006-A2C1-86CE6314459A}" sibTransId="{60910541-F7B2-4338-A9AB-2722A747571A}"/>
    <dgm:cxn modelId="{9A153FAF-DF08-48B1-87B8-FA390C5D3948}" type="presOf" srcId="{665A1743-6566-4FEC-8A0B-4FD0F1A13BD7}" destId="{0CAD44C6-5D19-47A3-A86E-AEF23FB9FF1B}" srcOrd="0" destOrd="0" presId="urn:microsoft.com/office/officeart/2011/layout/HexagonRadial"/>
    <dgm:cxn modelId="{98E86BB5-3143-4C2B-82B9-1EC5D8BEA49B}" srcId="{001CB797-FFDA-4A9D-BCA6-5AE13F3B4025}" destId="{B0D4096C-55EB-4168-B6D2-00139C16214E}" srcOrd="0" destOrd="0" parTransId="{7E1EA790-FD96-4EB8-8CF5-476A65F42BFA}" sibTransId="{81D28E50-2ADF-415D-8BE6-55F55FA79A0E}"/>
    <dgm:cxn modelId="{A338DAB6-F02E-4E34-8D51-F616BFC2F463}" type="presOf" srcId="{001CB797-FFDA-4A9D-BCA6-5AE13F3B4025}" destId="{942F8FE1-BF14-4B88-B747-28D6D8439C19}" srcOrd="0" destOrd="0" presId="urn:microsoft.com/office/officeart/2011/layout/HexagonRadial"/>
    <dgm:cxn modelId="{D4B7F6B7-C670-433E-AC7F-1446FE8D616A}" srcId="{91823B0B-552B-4A78-90A6-2070B411FE49}" destId="{001CB797-FFDA-4A9D-BCA6-5AE13F3B4025}" srcOrd="0" destOrd="0" parTransId="{725E622E-7655-4E9A-B293-356B644AB5FB}" sibTransId="{C47C546D-05C4-4016-8C09-014D09FFF3FF}"/>
    <dgm:cxn modelId="{1D274BC5-CBFF-401B-9AB1-49D0738369B1}" type="presOf" srcId="{B0D4096C-55EB-4168-B6D2-00139C16214E}" destId="{F69F0A60-26EF-4995-AF27-EF346A62F4B4}"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90494FD9-922B-4B25-898E-83355239A767}" type="presOf" srcId="{194CCEB5-01AB-4F77-9B8A-60864F842475}" destId="{6A734848-214D-4CBF-AADD-DB44428E7ADB}" srcOrd="0" destOrd="0" presId="urn:microsoft.com/office/officeart/2011/layout/HexagonRadial"/>
    <dgm:cxn modelId="{541FFFEB-C5AA-4ED0-9A97-12F9BF2DF8A3}" type="presOf" srcId="{B1DD5CD6-5F4F-4602-94F7-E65DAAAECE52}" destId="{72A189E2-0FA7-4C21-8213-9C9AB895F7AC}" srcOrd="0" destOrd="0" presId="urn:microsoft.com/office/officeart/2011/layout/HexagonRadial"/>
    <dgm:cxn modelId="{F178F7FF-76D9-42E1-A3EC-4F02EA258D8D}" type="presOf" srcId="{91823B0B-552B-4A78-90A6-2070B411FE49}" destId="{90693F20-75EE-4E71-B8D6-5A4E3C4E9383}" srcOrd="0" destOrd="0" presId="urn:microsoft.com/office/officeart/2011/layout/HexagonRadial"/>
    <dgm:cxn modelId="{1462A2C9-F32D-457E-8DEE-399120154BCD}" type="presParOf" srcId="{90693F20-75EE-4E71-B8D6-5A4E3C4E9383}" destId="{942F8FE1-BF14-4B88-B747-28D6D8439C19}" srcOrd="0" destOrd="0" presId="urn:microsoft.com/office/officeart/2011/layout/HexagonRadial"/>
    <dgm:cxn modelId="{831D037B-C8D9-4C20-8D35-B61D60574891}" type="presParOf" srcId="{90693F20-75EE-4E71-B8D6-5A4E3C4E9383}" destId="{6240A6D3-7ED4-45A7-9A18-C18950CCF7EA}" srcOrd="1" destOrd="0" presId="urn:microsoft.com/office/officeart/2011/layout/HexagonRadial"/>
    <dgm:cxn modelId="{970FA531-DE3A-4209-B4BB-6D61BB2432C2}" type="presParOf" srcId="{6240A6D3-7ED4-45A7-9A18-C18950CCF7EA}" destId="{627E1C81-5AFA-4222-9E2B-E3C463318AF3}" srcOrd="0" destOrd="0" presId="urn:microsoft.com/office/officeart/2011/layout/HexagonRadial"/>
    <dgm:cxn modelId="{E43FEC83-F237-4BE9-9A27-938366F9998B}" type="presParOf" srcId="{90693F20-75EE-4E71-B8D6-5A4E3C4E9383}" destId="{F69F0A60-26EF-4995-AF27-EF346A62F4B4}" srcOrd="2" destOrd="0" presId="urn:microsoft.com/office/officeart/2011/layout/HexagonRadial"/>
    <dgm:cxn modelId="{EC10B248-C606-4069-8614-F70766860FE8}" type="presParOf" srcId="{90693F20-75EE-4E71-B8D6-5A4E3C4E9383}" destId="{8F8EBD49-D6D4-4A20-8C6C-1B5034475E88}" srcOrd="3" destOrd="0" presId="urn:microsoft.com/office/officeart/2011/layout/HexagonRadial"/>
    <dgm:cxn modelId="{F76CE516-5B71-483E-BACC-F1EF48E0B7DD}" type="presParOf" srcId="{8F8EBD49-D6D4-4A20-8C6C-1B5034475E88}" destId="{EC3F163C-9660-4A02-8275-6B679559A0E7}" srcOrd="0" destOrd="0" presId="urn:microsoft.com/office/officeart/2011/layout/HexagonRadial"/>
    <dgm:cxn modelId="{752B9189-2869-4ABA-A8F0-CABB2472310E}" type="presParOf" srcId="{90693F20-75EE-4E71-B8D6-5A4E3C4E9383}" destId="{6A734848-214D-4CBF-AADD-DB44428E7ADB}" srcOrd="4" destOrd="0" presId="urn:microsoft.com/office/officeart/2011/layout/HexagonRadial"/>
    <dgm:cxn modelId="{8B2FF975-9798-4C45-B346-C012CF05A09D}" type="presParOf" srcId="{90693F20-75EE-4E71-B8D6-5A4E3C4E9383}" destId="{C46A8BAD-C53A-40FA-A4BA-EEE4BF56380C}" srcOrd="5" destOrd="0" presId="urn:microsoft.com/office/officeart/2011/layout/HexagonRadial"/>
    <dgm:cxn modelId="{336500CA-880F-4375-B859-98F9CDDFBDE6}" type="presParOf" srcId="{C46A8BAD-C53A-40FA-A4BA-EEE4BF56380C}" destId="{B3069FDE-EA3D-426A-B35C-13F1B2D55BA5}" srcOrd="0" destOrd="0" presId="urn:microsoft.com/office/officeart/2011/layout/HexagonRadial"/>
    <dgm:cxn modelId="{B7079D4B-F571-4874-A0F6-31022E3F997E}" type="presParOf" srcId="{90693F20-75EE-4E71-B8D6-5A4E3C4E9383}" destId="{E31833F0-3A8A-44CA-B8FC-37ABD7E2D1B7}" srcOrd="6" destOrd="0" presId="urn:microsoft.com/office/officeart/2011/layout/HexagonRadial"/>
    <dgm:cxn modelId="{2CC9D852-4A1B-4672-8B7A-A7D529465E6B}" type="presParOf" srcId="{90693F20-75EE-4E71-B8D6-5A4E3C4E9383}" destId="{F56069C1-8FAB-42FE-A936-A1FA1FA56D38}" srcOrd="7" destOrd="0" presId="urn:microsoft.com/office/officeart/2011/layout/HexagonRadial"/>
    <dgm:cxn modelId="{3B55295F-2390-48A1-A15E-2D8FFD128D92}" type="presParOf" srcId="{F56069C1-8FAB-42FE-A936-A1FA1FA56D38}" destId="{A3CD5681-F361-45F3-9C74-933C5548A472}" srcOrd="0" destOrd="0" presId="urn:microsoft.com/office/officeart/2011/layout/HexagonRadial"/>
    <dgm:cxn modelId="{BE0826D2-CD79-47FB-80F8-DD77365FD132}" type="presParOf" srcId="{90693F20-75EE-4E71-B8D6-5A4E3C4E9383}" destId="{72A189E2-0FA7-4C21-8213-9C9AB895F7AC}" srcOrd="8" destOrd="0" presId="urn:microsoft.com/office/officeart/2011/layout/HexagonRadial"/>
    <dgm:cxn modelId="{37551B81-CC24-4B87-A488-A6076134F995}" type="presParOf" srcId="{90693F20-75EE-4E71-B8D6-5A4E3C4E9383}" destId="{B4BED3AE-3A2A-4311-8906-2F1587EACB4D}" srcOrd="9" destOrd="0" presId="urn:microsoft.com/office/officeart/2011/layout/HexagonRadial"/>
    <dgm:cxn modelId="{7B73905B-0651-4D22-A0D3-343AB7C0E54E}" type="presParOf" srcId="{B4BED3AE-3A2A-4311-8906-2F1587EACB4D}" destId="{B170DE45-594C-4603-8A9B-28E0FD649ABC}" srcOrd="0" destOrd="0" presId="urn:microsoft.com/office/officeart/2011/layout/HexagonRadial"/>
    <dgm:cxn modelId="{86DE11CC-0E86-4368-9530-56C9EA253C74}" type="presParOf" srcId="{90693F20-75EE-4E71-B8D6-5A4E3C4E9383}" destId="{D7029FED-4F85-440C-A86C-9AD547F41978}" srcOrd="10" destOrd="0" presId="urn:microsoft.com/office/officeart/2011/layout/HexagonRadial"/>
    <dgm:cxn modelId="{83426D15-327D-416F-A21A-FBC5BAA86721}" type="presParOf" srcId="{90693F20-75EE-4E71-B8D6-5A4E3C4E9383}" destId="{E3C9F034-07C9-4241-8A46-01375C78428F}" srcOrd="11" destOrd="0" presId="urn:microsoft.com/office/officeart/2011/layout/HexagonRadial"/>
    <dgm:cxn modelId="{00A6730F-A97C-453C-931E-2CAB303A523F}" type="presParOf" srcId="{E3C9F034-07C9-4241-8A46-01375C78428F}" destId="{E71E0223-E0E2-4034-AC7C-A7F2CBD57B44}" srcOrd="0" destOrd="0" presId="urn:microsoft.com/office/officeart/2011/layout/HexagonRadial"/>
    <dgm:cxn modelId="{F3252625-9857-4D12-8496-F2E361B9929A}"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3002918" y="1220707"/>
          <a:ext cx="1551571" cy="1342172"/>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bg1"/>
              </a:solidFill>
              <a:latin typeface="Calibri"/>
              <a:ea typeface="+mn-ea"/>
              <a:cs typeface="+mn-cs"/>
            </a:rPr>
            <a:t>Curriculum (What is taught to and experienced by students) </a:t>
          </a:r>
        </a:p>
      </dsp:txBody>
      <dsp:txXfrm>
        <a:off x="3260035" y="1443124"/>
        <a:ext cx="1037337" cy="897338"/>
      </dsp:txXfrm>
    </dsp:sp>
    <dsp:sp modelId="{EC3F163C-9660-4A02-8275-6B679559A0E7}">
      <dsp:nvSpPr>
        <dsp:cNvPr id="0" name=""/>
        <dsp:cNvSpPr/>
      </dsp:nvSpPr>
      <dsp:spPr>
        <a:xfrm>
          <a:off x="3974500" y="578568"/>
          <a:ext cx="585403" cy="50440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145840" y="0"/>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1. Clarity around the sequence of learning.</a:t>
          </a:r>
        </a:p>
      </dsp:txBody>
      <dsp:txXfrm>
        <a:off x="3356555" y="182293"/>
        <a:ext cx="850072" cy="735412"/>
      </dsp:txXfrm>
    </dsp:sp>
    <dsp:sp modelId="{B3069FDE-EA3D-426A-B35C-13F1B2D55BA5}">
      <dsp:nvSpPr>
        <dsp:cNvPr id="0" name=""/>
        <dsp:cNvSpPr/>
      </dsp:nvSpPr>
      <dsp:spPr>
        <a:xfrm>
          <a:off x="4657712" y="1521532"/>
          <a:ext cx="585403" cy="5044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11955" y="676572"/>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2. Clarity around  Knowledge and </a:t>
          </a:r>
          <a:r>
            <a:rPr lang="en-US" sz="800" kern="1200">
              <a:solidFill>
                <a:schemeClr val="bg1"/>
              </a:solidFill>
              <a:latin typeface="Calibri"/>
              <a:ea typeface="+mn-ea"/>
              <a:cs typeface="+mn-cs"/>
            </a:rPr>
            <a:t>the application of knowledge</a:t>
          </a:r>
          <a:r>
            <a:rPr lang="en-US" sz="800" kern="1200">
              <a:solidFill>
                <a:sysClr val="window" lastClr="FFFFFF"/>
              </a:solidFill>
              <a:latin typeface="Calibri"/>
              <a:ea typeface="+mn-ea"/>
              <a:cs typeface="+mn-cs"/>
            </a:rPr>
            <a:t>.</a:t>
          </a:r>
        </a:p>
      </dsp:txBody>
      <dsp:txXfrm>
        <a:off x="4522670" y="858865"/>
        <a:ext cx="850072" cy="735412"/>
      </dsp:txXfrm>
    </dsp:sp>
    <dsp:sp modelId="{A3CD5681-F361-45F3-9C74-933C5548A472}">
      <dsp:nvSpPr>
        <dsp:cNvPr id="0" name=""/>
        <dsp:cNvSpPr/>
      </dsp:nvSpPr>
      <dsp:spPr>
        <a:xfrm>
          <a:off x="4183109" y="2585961"/>
          <a:ext cx="585403" cy="5044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11955" y="2006636"/>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3. Vocabulary/</a:t>
          </a:r>
        </a:p>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Literacy</a:t>
          </a:r>
        </a:p>
      </dsp:txBody>
      <dsp:txXfrm>
        <a:off x="4522670" y="2188929"/>
        <a:ext cx="850072" cy="735412"/>
      </dsp:txXfrm>
    </dsp:sp>
    <dsp:sp modelId="{B170DE45-594C-4603-8A9B-28E0FD649ABC}">
      <dsp:nvSpPr>
        <dsp:cNvPr id="0" name=""/>
        <dsp:cNvSpPr/>
      </dsp:nvSpPr>
      <dsp:spPr>
        <a:xfrm>
          <a:off x="3005805" y="2696453"/>
          <a:ext cx="585403" cy="5044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145840" y="2683966"/>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4. Aspiring, inspiring and 'real'</a:t>
          </a:r>
        </a:p>
      </dsp:txBody>
      <dsp:txXfrm>
        <a:off x="3356555" y="2866259"/>
        <a:ext cx="850072" cy="735412"/>
      </dsp:txXfrm>
    </dsp:sp>
    <dsp:sp modelId="{E71E0223-E0E2-4034-AC7C-A7F2CBD57B44}">
      <dsp:nvSpPr>
        <dsp:cNvPr id="0" name=""/>
        <dsp:cNvSpPr/>
      </dsp:nvSpPr>
      <dsp:spPr>
        <a:xfrm>
          <a:off x="2311406" y="1753867"/>
          <a:ext cx="585403" cy="504402"/>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974312" y="2007393"/>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5. Memory and cognition </a:t>
          </a:r>
        </a:p>
      </dsp:txBody>
      <dsp:txXfrm>
        <a:off x="2185027" y="2189686"/>
        <a:ext cx="850072" cy="735412"/>
      </dsp:txXfrm>
    </dsp:sp>
    <dsp:sp modelId="{0CAD44C6-5D19-47A3-A86E-AEF23FB9FF1B}">
      <dsp:nvSpPr>
        <dsp:cNvPr id="0" name=""/>
        <dsp:cNvSpPr/>
      </dsp:nvSpPr>
      <dsp:spPr>
        <a:xfrm>
          <a:off x="1974312" y="675059"/>
          <a:ext cx="1271502" cy="1099998"/>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a:ea typeface="+mn-ea"/>
              <a:cs typeface="+mn-cs"/>
            </a:rPr>
            <a:t>6.  Assessment.  Clarity around the end points and the assessment of what students know and can do.</a:t>
          </a:r>
        </a:p>
      </dsp:txBody>
      <dsp:txXfrm>
        <a:off x="2185027" y="857352"/>
        <a:ext cx="850072" cy="73541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777D-A0D2-488C-8504-C43500DC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Mr. A. McMahon</cp:lastModifiedBy>
  <cp:revision>6</cp:revision>
  <cp:lastPrinted>2020-01-20T14:17:00Z</cp:lastPrinted>
  <dcterms:created xsi:type="dcterms:W3CDTF">2019-05-21T07:12:00Z</dcterms:created>
  <dcterms:modified xsi:type="dcterms:W3CDTF">2021-11-01T09:11:00Z</dcterms:modified>
</cp:coreProperties>
</file>